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4360"/>
      </w:tblGrid>
      <w:tr w:rsidR="002701F2" w:rsidTr="00F926FD">
        <w:tc>
          <w:tcPr>
            <w:tcW w:w="5000" w:type="pct"/>
            <w:gridSpan w:val="3"/>
          </w:tcPr>
          <w:p w:rsidR="002701F2" w:rsidRPr="00F21788" w:rsidRDefault="002701F2" w:rsidP="00E8727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1788">
              <w:rPr>
                <w:b/>
                <w:sz w:val="36"/>
                <w:szCs w:val="36"/>
              </w:rPr>
              <w:t>TABLA DE EQUIVALENCIAS MORFOSINTÁCTICAS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Pr="00616636" w:rsidRDefault="002701F2" w:rsidP="00E8727E">
            <w:pPr>
              <w:jc w:val="center"/>
              <w:rPr>
                <w:b/>
                <w:sz w:val="24"/>
                <w:szCs w:val="24"/>
              </w:rPr>
            </w:pPr>
            <w:r w:rsidRPr="00616636">
              <w:rPr>
                <w:b/>
                <w:sz w:val="24"/>
                <w:szCs w:val="24"/>
              </w:rPr>
              <w:t>CATEGORÍAS MORFOLÓGICAS (Sintagmas)</w:t>
            </w:r>
          </w:p>
        </w:tc>
        <w:tc>
          <w:tcPr>
            <w:tcW w:w="2500" w:type="pct"/>
          </w:tcPr>
          <w:p w:rsidR="002701F2" w:rsidRPr="00616636" w:rsidRDefault="002701F2" w:rsidP="00E8727E">
            <w:pPr>
              <w:jc w:val="center"/>
              <w:rPr>
                <w:b/>
                <w:sz w:val="24"/>
                <w:szCs w:val="24"/>
              </w:rPr>
            </w:pPr>
            <w:r w:rsidRPr="00616636">
              <w:rPr>
                <w:b/>
                <w:sz w:val="24"/>
                <w:szCs w:val="24"/>
              </w:rPr>
              <w:t>FUNCIONES SINTÁCTICAS</w:t>
            </w:r>
          </w:p>
        </w:tc>
      </w:tr>
      <w:tr w:rsidR="002701F2" w:rsidTr="00F926FD">
        <w:trPr>
          <w:trHeight w:val="270"/>
        </w:trPr>
        <w:tc>
          <w:tcPr>
            <w:tcW w:w="1250" w:type="pct"/>
            <w:vMerge w:val="restart"/>
          </w:tcPr>
          <w:p w:rsidR="002701F2" w:rsidRDefault="002701F2" w:rsidP="00F926FD">
            <w:r>
              <w:t>ADJETIVO</w:t>
            </w:r>
          </w:p>
          <w:p w:rsidR="002701F2" w:rsidRDefault="002701F2" w:rsidP="00F926FD"/>
        </w:tc>
        <w:tc>
          <w:tcPr>
            <w:tcW w:w="1250" w:type="pct"/>
          </w:tcPr>
          <w:p w:rsidR="002701F2" w:rsidRDefault="002701F2" w:rsidP="00F926FD">
            <w:r>
              <w:t>Determinativos</w:t>
            </w:r>
          </w:p>
        </w:tc>
        <w:tc>
          <w:tcPr>
            <w:tcW w:w="2500" w:type="pct"/>
          </w:tcPr>
          <w:p w:rsidR="002701F2" w:rsidRDefault="002701F2" w:rsidP="004A5C26">
            <w:r>
              <w:t>Deter</w:t>
            </w:r>
            <w:r w:rsidR="002078F8">
              <w:t>minantes.</w:t>
            </w:r>
          </w:p>
        </w:tc>
      </w:tr>
      <w:tr w:rsidR="002701F2" w:rsidTr="00F926FD">
        <w:trPr>
          <w:trHeight w:val="270"/>
        </w:trPr>
        <w:tc>
          <w:tcPr>
            <w:tcW w:w="1250" w:type="pct"/>
            <w:vMerge/>
          </w:tcPr>
          <w:p w:rsidR="002701F2" w:rsidRDefault="002701F2" w:rsidP="00F926FD"/>
        </w:tc>
        <w:tc>
          <w:tcPr>
            <w:tcW w:w="1250" w:type="pct"/>
          </w:tcPr>
          <w:p w:rsidR="002701F2" w:rsidRDefault="002701F2" w:rsidP="00F926FD">
            <w:r>
              <w:t xml:space="preserve">Calificativos </w:t>
            </w:r>
          </w:p>
          <w:p w:rsidR="00E8727E" w:rsidRDefault="00E8727E" w:rsidP="00F926FD">
            <w:r>
              <w:t>(</w:t>
            </w:r>
            <w:proofErr w:type="spellStart"/>
            <w:r>
              <w:t>SAdj</w:t>
            </w:r>
            <w:proofErr w:type="spellEnd"/>
            <w:r>
              <w:t>)</w:t>
            </w:r>
          </w:p>
        </w:tc>
        <w:tc>
          <w:tcPr>
            <w:tcW w:w="2500" w:type="pct"/>
          </w:tcPr>
          <w:p w:rsidR="002701F2" w:rsidRDefault="002701F2" w:rsidP="00F926FD">
            <w:r>
              <w:t>Adyacente (CN)</w:t>
            </w:r>
            <w:r w:rsidR="006B641E">
              <w:t>.</w:t>
            </w:r>
          </w:p>
          <w:p w:rsidR="002701F2" w:rsidRDefault="002701F2" w:rsidP="00F926FD">
            <w:r>
              <w:t>Atributo</w:t>
            </w:r>
            <w:r w:rsidR="006B641E">
              <w:t>.</w:t>
            </w:r>
          </w:p>
          <w:p w:rsidR="002701F2" w:rsidRDefault="002078F8" w:rsidP="002078F8">
            <w:pPr>
              <w:tabs>
                <w:tab w:val="right" w:pos="4144"/>
              </w:tabs>
            </w:pPr>
            <w:proofErr w:type="spellStart"/>
            <w:r>
              <w:t>CPvo</w:t>
            </w:r>
            <w:proofErr w:type="spellEnd"/>
            <w:r w:rsidR="00671476">
              <w:t xml:space="preserve"> </w:t>
            </w:r>
            <w:r w:rsidR="002701F2">
              <w:t xml:space="preserve">de </w:t>
            </w:r>
            <w:proofErr w:type="spellStart"/>
            <w:r w:rsidR="002701F2">
              <w:t>Suj</w:t>
            </w:r>
            <w:proofErr w:type="spellEnd"/>
            <w:r w:rsidR="002701F2">
              <w:t xml:space="preserve"> o</w:t>
            </w:r>
            <w:r>
              <w:t xml:space="preserve"> </w:t>
            </w:r>
            <w:proofErr w:type="spellStart"/>
            <w:r>
              <w:t>CPvo</w:t>
            </w:r>
            <w:proofErr w:type="spellEnd"/>
            <w:r w:rsidR="002701F2">
              <w:t xml:space="preserve"> de CD</w:t>
            </w:r>
            <w:r w:rsidR="006B641E">
              <w:t>.</w:t>
            </w:r>
            <w:r>
              <w:tab/>
            </w:r>
          </w:p>
          <w:p w:rsidR="002701F2" w:rsidRDefault="002701F2" w:rsidP="004A5C26">
            <w:r>
              <w:t xml:space="preserve">Término de </w:t>
            </w:r>
            <w:proofErr w:type="spellStart"/>
            <w:r>
              <w:t>SPrep</w:t>
            </w:r>
            <w:proofErr w:type="spellEnd"/>
            <w:r w:rsidR="006B641E">
              <w:t>.</w:t>
            </w:r>
            <w:r w:rsidR="00E8727E">
              <w:t xml:space="preserve"> (</w:t>
            </w:r>
            <w:proofErr w:type="gramStart"/>
            <w:r w:rsidR="00E8727E" w:rsidRPr="00ED6647">
              <w:rPr>
                <w:b/>
              </w:rPr>
              <w:t>normalmente</w:t>
            </w:r>
            <w:proofErr w:type="gramEnd"/>
            <w:r w:rsidR="004A5C26">
              <w:t xml:space="preserve"> </w:t>
            </w:r>
            <w:r w:rsidR="002078F8">
              <w:t xml:space="preserve">se construye </w:t>
            </w:r>
            <w:r w:rsidR="00E8727E">
              <w:t xml:space="preserve">con la </w:t>
            </w:r>
            <w:proofErr w:type="spellStart"/>
            <w:r w:rsidR="00E8727E">
              <w:t>prep</w:t>
            </w:r>
            <w:proofErr w:type="spellEnd"/>
            <w:r w:rsidR="00E8727E">
              <w:t>. “de”).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 xml:space="preserve">ADVERBIO </w:t>
            </w:r>
          </w:p>
          <w:p w:rsidR="002701F2" w:rsidRDefault="002701F2" w:rsidP="00F926FD">
            <w:r>
              <w:t>(</w:t>
            </w:r>
            <w:proofErr w:type="spellStart"/>
            <w:r>
              <w:t>SAdv</w:t>
            </w:r>
            <w:proofErr w:type="spellEnd"/>
            <w:r>
              <w:t>)</w:t>
            </w:r>
          </w:p>
        </w:tc>
        <w:tc>
          <w:tcPr>
            <w:tcW w:w="2500" w:type="pct"/>
          </w:tcPr>
          <w:p w:rsidR="002701F2" w:rsidRDefault="004A5C26" w:rsidP="00F926FD">
            <w:r>
              <w:t xml:space="preserve">Cuantificador de </w:t>
            </w:r>
            <w:proofErr w:type="gramStart"/>
            <w:r>
              <w:t>un</w:t>
            </w:r>
            <w:proofErr w:type="gramEnd"/>
            <w:r>
              <w:t xml:space="preserve"> </w:t>
            </w:r>
            <w:proofErr w:type="spellStart"/>
            <w:r>
              <w:t>adj</w:t>
            </w:r>
            <w:proofErr w:type="spellEnd"/>
            <w:r>
              <w:t xml:space="preserve">. o de otro </w:t>
            </w:r>
            <w:proofErr w:type="spellStart"/>
            <w:r>
              <w:t>adv</w:t>
            </w:r>
            <w:proofErr w:type="spellEnd"/>
            <w:r w:rsidR="006B641E">
              <w:t>.</w:t>
            </w:r>
          </w:p>
          <w:p w:rsidR="002701F2" w:rsidRDefault="00671476" w:rsidP="00F926FD">
            <w:r>
              <w:t>Complemento circunstancial</w:t>
            </w:r>
            <w:r w:rsidR="006B641E">
              <w:t>.</w:t>
            </w:r>
          </w:p>
          <w:p w:rsidR="002701F2" w:rsidRDefault="006B641E" w:rsidP="00F926FD">
            <w:r>
              <w:t>Atributo (adverbios de modo).</w:t>
            </w:r>
          </w:p>
          <w:p w:rsidR="002701F2" w:rsidRDefault="002701F2" w:rsidP="00F926FD">
            <w:r>
              <w:t>Modificador oracional (</w:t>
            </w:r>
            <w:r w:rsidR="006B641E">
              <w:t xml:space="preserve">adverbio </w:t>
            </w:r>
            <w:r>
              <w:t>negación)</w:t>
            </w:r>
            <w:r w:rsidR="006B641E">
              <w:t>.</w:t>
            </w:r>
          </w:p>
          <w:p w:rsidR="002701F2" w:rsidRDefault="002701F2" w:rsidP="004A5C26">
            <w:r>
              <w:t xml:space="preserve">Término de </w:t>
            </w:r>
            <w:proofErr w:type="spellStart"/>
            <w:r>
              <w:t>SPrep</w:t>
            </w:r>
            <w:proofErr w:type="spellEnd"/>
            <w:r w:rsidR="006B641E">
              <w:t>.</w:t>
            </w:r>
            <w:r w:rsidR="00E8727E">
              <w:t xml:space="preserve"> (</w:t>
            </w:r>
            <w:proofErr w:type="gramStart"/>
            <w:r w:rsidR="00E8727E" w:rsidRPr="00ED6647">
              <w:rPr>
                <w:b/>
              </w:rPr>
              <w:t>normalmente</w:t>
            </w:r>
            <w:proofErr w:type="gramEnd"/>
            <w:r w:rsidR="004A5C26">
              <w:rPr>
                <w:b/>
              </w:rPr>
              <w:t xml:space="preserve"> </w:t>
            </w:r>
            <w:r w:rsidR="002078F8" w:rsidRPr="002078F8">
              <w:t>se</w:t>
            </w:r>
            <w:r w:rsidR="002078F8">
              <w:rPr>
                <w:b/>
              </w:rPr>
              <w:t xml:space="preserve"> </w:t>
            </w:r>
            <w:r w:rsidR="002078F8" w:rsidRPr="002078F8">
              <w:t>construye</w:t>
            </w:r>
            <w:r w:rsidR="002078F8">
              <w:rPr>
                <w:b/>
              </w:rPr>
              <w:t xml:space="preserve"> </w:t>
            </w:r>
            <w:r w:rsidR="004A5C26" w:rsidRPr="004A5C26">
              <w:t>con</w:t>
            </w:r>
            <w:r w:rsidR="00E8727E">
              <w:t xml:space="preserve"> la </w:t>
            </w:r>
            <w:proofErr w:type="spellStart"/>
            <w:r w:rsidR="00E8727E">
              <w:t>prep</w:t>
            </w:r>
            <w:proofErr w:type="spellEnd"/>
            <w:r w:rsidR="00E8727E">
              <w:t>.“</w:t>
            </w:r>
            <w:proofErr w:type="gramStart"/>
            <w:r w:rsidR="00E8727E">
              <w:t>de</w:t>
            </w:r>
            <w:proofErr w:type="gramEnd"/>
            <w:r w:rsidR="00E8727E">
              <w:t>”).</w:t>
            </w:r>
          </w:p>
          <w:p w:rsidR="004A5C26" w:rsidRDefault="004A5C26" w:rsidP="004A5C26">
            <w:proofErr w:type="spellStart"/>
            <w:r w:rsidRPr="00632506">
              <w:rPr>
                <w:b/>
              </w:rPr>
              <w:t>Advs</w:t>
            </w:r>
            <w:proofErr w:type="spellEnd"/>
            <w:r w:rsidRPr="00632506">
              <w:rPr>
                <w:b/>
              </w:rPr>
              <w:t xml:space="preserve">. </w:t>
            </w:r>
            <w:proofErr w:type="gramStart"/>
            <w:r w:rsidR="00632506">
              <w:rPr>
                <w:b/>
              </w:rPr>
              <w:t>r</w:t>
            </w:r>
            <w:r w:rsidRPr="00632506">
              <w:rPr>
                <w:b/>
              </w:rPr>
              <w:t>elativo</w:t>
            </w:r>
            <w:r>
              <w:t>s</w:t>
            </w:r>
            <w:proofErr w:type="gramEnd"/>
            <w:r>
              <w:t xml:space="preserve">: Nexos </w:t>
            </w:r>
            <w:proofErr w:type="spellStart"/>
            <w:r>
              <w:t>Prop</w:t>
            </w:r>
            <w:proofErr w:type="spellEnd"/>
            <w:r>
              <w:t xml:space="preserve">. Sub. </w:t>
            </w:r>
            <w:proofErr w:type="spellStart"/>
            <w:r>
              <w:t>Adj</w:t>
            </w:r>
            <w:proofErr w:type="spellEnd"/>
            <w:r>
              <w:t>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>Artículo</w:t>
            </w:r>
          </w:p>
        </w:tc>
        <w:tc>
          <w:tcPr>
            <w:tcW w:w="2500" w:type="pct"/>
          </w:tcPr>
          <w:p w:rsidR="002701F2" w:rsidRDefault="002701F2" w:rsidP="00F926FD">
            <w:r>
              <w:t>Determinante</w:t>
            </w:r>
            <w:r w:rsidR="006B641E">
              <w:t>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>Conjunción</w:t>
            </w:r>
          </w:p>
        </w:tc>
        <w:tc>
          <w:tcPr>
            <w:tcW w:w="2500" w:type="pct"/>
          </w:tcPr>
          <w:p w:rsidR="002701F2" w:rsidRDefault="002701F2" w:rsidP="00F926FD">
            <w:r>
              <w:t>Nexo</w:t>
            </w:r>
            <w:r w:rsidR="006B641E">
              <w:t>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>Interjección</w:t>
            </w:r>
          </w:p>
        </w:tc>
        <w:tc>
          <w:tcPr>
            <w:tcW w:w="2500" w:type="pct"/>
          </w:tcPr>
          <w:p w:rsidR="002701F2" w:rsidRDefault="002701F2" w:rsidP="00F926FD">
            <w:r>
              <w:t>Sentido oracional</w:t>
            </w:r>
            <w:r w:rsidR="006B641E">
              <w:t>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>Preposición</w:t>
            </w:r>
          </w:p>
        </w:tc>
        <w:tc>
          <w:tcPr>
            <w:tcW w:w="2500" w:type="pct"/>
          </w:tcPr>
          <w:p w:rsidR="002701F2" w:rsidRDefault="002701F2" w:rsidP="00F926FD">
            <w:r>
              <w:t>Enlace</w:t>
            </w:r>
            <w:r w:rsidR="006B641E">
              <w:t>.</w:t>
            </w:r>
          </w:p>
        </w:tc>
      </w:tr>
      <w:tr w:rsidR="002701F2" w:rsidTr="00F926FD">
        <w:tc>
          <w:tcPr>
            <w:tcW w:w="2500" w:type="pct"/>
            <w:gridSpan w:val="2"/>
          </w:tcPr>
          <w:p w:rsidR="002701F2" w:rsidRDefault="002701F2" w:rsidP="00F926FD">
            <w:r>
              <w:t>Pronombre</w:t>
            </w:r>
          </w:p>
        </w:tc>
        <w:tc>
          <w:tcPr>
            <w:tcW w:w="2500" w:type="pct"/>
          </w:tcPr>
          <w:p w:rsidR="002701F2" w:rsidRDefault="00ED6647" w:rsidP="00F926FD">
            <w:r>
              <w:t>T</w:t>
            </w:r>
            <w:r w:rsidR="00F21788">
              <w:t>ienen las mismas funciones que los SN.</w:t>
            </w:r>
          </w:p>
          <w:p w:rsidR="00F21788" w:rsidRDefault="00F21788" w:rsidP="00F926FD">
            <w:r>
              <w:t xml:space="preserve">Los </w:t>
            </w:r>
            <w:r w:rsidRPr="006B641E">
              <w:rPr>
                <w:b/>
              </w:rPr>
              <w:t>pronombres relativos</w:t>
            </w:r>
            <w:r>
              <w:t xml:space="preserve"> tienen, al mismo tiempo,</w:t>
            </w:r>
            <w:r w:rsidR="006B641E">
              <w:t xml:space="preserve"> las funciones de</w:t>
            </w:r>
            <w:r w:rsidR="00671476">
              <w:t xml:space="preserve"> Nexo de </w:t>
            </w:r>
            <w:proofErr w:type="spellStart"/>
            <w:r w:rsidR="00671476">
              <w:t>Prop</w:t>
            </w:r>
            <w:proofErr w:type="spellEnd"/>
            <w:r w:rsidR="00671476">
              <w:t>. Sub. A</w:t>
            </w:r>
            <w:r w:rsidR="006B641E">
              <w:t>djetiva y de</w:t>
            </w:r>
            <w:r w:rsidR="00671476">
              <w:t xml:space="preserve">l SN que </w:t>
            </w:r>
            <w:r w:rsidR="006B641E">
              <w:t xml:space="preserve"> corresponda.</w:t>
            </w:r>
          </w:p>
        </w:tc>
      </w:tr>
      <w:tr w:rsidR="002701F2" w:rsidTr="00F926FD">
        <w:trPr>
          <w:trHeight w:val="135"/>
        </w:trPr>
        <w:tc>
          <w:tcPr>
            <w:tcW w:w="1250" w:type="pct"/>
            <w:vMerge w:val="restart"/>
          </w:tcPr>
          <w:p w:rsidR="002701F2" w:rsidRDefault="002701F2" w:rsidP="00F926FD">
            <w:r>
              <w:t>Sustantivo</w:t>
            </w:r>
          </w:p>
          <w:p w:rsidR="002701F2" w:rsidRDefault="002701F2" w:rsidP="00F926FD"/>
        </w:tc>
        <w:tc>
          <w:tcPr>
            <w:tcW w:w="1250" w:type="pct"/>
          </w:tcPr>
          <w:p w:rsidR="002701F2" w:rsidRDefault="002701F2" w:rsidP="00F926FD">
            <w:r>
              <w:t xml:space="preserve">  Sin enlace delante</w:t>
            </w:r>
          </w:p>
          <w:p w:rsidR="002701F2" w:rsidRDefault="00F21788" w:rsidP="00F926FD">
            <w:r>
              <w:t xml:space="preserve">  </w:t>
            </w:r>
            <w:r w:rsidR="002701F2">
              <w:t>(SN)</w:t>
            </w:r>
          </w:p>
        </w:tc>
        <w:tc>
          <w:tcPr>
            <w:tcW w:w="2500" w:type="pct"/>
          </w:tcPr>
          <w:p w:rsidR="002701F2" w:rsidRDefault="002701F2" w:rsidP="00F926FD">
            <w:r>
              <w:t>Sujeto</w:t>
            </w:r>
            <w:r w:rsidR="006B641E">
              <w:t>.</w:t>
            </w:r>
          </w:p>
          <w:p w:rsidR="002701F2" w:rsidRDefault="002701F2" w:rsidP="00F926FD">
            <w:r>
              <w:t>CD (de animal o cosa)</w:t>
            </w:r>
            <w:r w:rsidR="006B641E">
              <w:t>.</w:t>
            </w:r>
          </w:p>
          <w:p w:rsidR="002701F2" w:rsidRDefault="002701F2" w:rsidP="00F926FD">
            <w:r>
              <w:t>Atributo</w:t>
            </w:r>
            <w:r w:rsidR="006B641E">
              <w:t>.</w:t>
            </w:r>
          </w:p>
          <w:p w:rsidR="002701F2" w:rsidRDefault="00671476" w:rsidP="00F926FD">
            <w:r>
              <w:t>Complemento circunstancial</w:t>
            </w:r>
            <w:r w:rsidR="006B641E">
              <w:t>.</w:t>
            </w:r>
          </w:p>
          <w:p w:rsidR="002701F2" w:rsidRDefault="002701F2" w:rsidP="00F926FD">
            <w:r>
              <w:t>Aposición explicativa o especificativa</w:t>
            </w:r>
            <w:r w:rsidR="00ED6647">
              <w:t>.</w:t>
            </w:r>
          </w:p>
          <w:p w:rsidR="004A5C26" w:rsidRDefault="004A5C26" w:rsidP="00F926FD">
            <w:r>
              <w:t>Vocativo.</w:t>
            </w:r>
          </w:p>
          <w:p w:rsidR="002701F2" w:rsidRDefault="002078F8" w:rsidP="00F926FD">
            <w:proofErr w:type="spellStart"/>
            <w:r>
              <w:t>CPvo</w:t>
            </w:r>
            <w:proofErr w:type="spellEnd"/>
            <w:r w:rsidR="002701F2">
              <w:t xml:space="preserve"> de </w:t>
            </w:r>
            <w:proofErr w:type="spellStart"/>
            <w:r w:rsidR="002701F2">
              <w:t>Suj</w:t>
            </w:r>
            <w:proofErr w:type="spellEnd"/>
            <w:r w:rsidR="002701F2">
              <w:t xml:space="preserve"> o </w:t>
            </w:r>
            <w:proofErr w:type="spellStart"/>
            <w:r>
              <w:t>CPvo</w:t>
            </w:r>
            <w:proofErr w:type="spellEnd"/>
            <w:r w:rsidR="00E8727E">
              <w:t xml:space="preserve"> </w:t>
            </w:r>
            <w:r w:rsidR="002701F2">
              <w:t>de CD</w:t>
            </w:r>
            <w:r w:rsidR="006B641E">
              <w:t>.</w:t>
            </w:r>
            <w:r w:rsidR="004A5C26">
              <w:t xml:space="preserve"> Infrecuente.</w:t>
            </w:r>
          </w:p>
          <w:p w:rsidR="00F21788" w:rsidRDefault="00F21788" w:rsidP="00F926FD">
            <w:r>
              <w:t xml:space="preserve">Término de </w:t>
            </w:r>
            <w:proofErr w:type="spellStart"/>
            <w:r>
              <w:t>SPrep</w:t>
            </w:r>
            <w:proofErr w:type="spellEnd"/>
            <w:r w:rsidR="006B641E">
              <w:t>.</w:t>
            </w:r>
          </w:p>
        </w:tc>
      </w:tr>
      <w:tr w:rsidR="002701F2" w:rsidTr="00F926FD">
        <w:trPr>
          <w:trHeight w:val="135"/>
        </w:trPr>
        <w:tc>
          <w:tcPr>
            <w:tcW w:w="1250" w:type="pct"/>
            <w:vMerge/>
          </w:tcPr>
          <w:p w:rsidR="002701F2" w:rsidRDefault="002701F2" w:rsidP="00F926FD"/>
        </w:tc>
        <w:tc>
          <w:tcPr>
            <w:tcW w:w="1250" w:type="pct"/>
          </w:tcPr>
          <w:p w:rsidR="00E8727E" w:rsidRDefault="00F21788" w:rsidP="00F926FD">
            <w:r>
              <w:t>Con enlace delante</w:t>
            </w:r>
            <w:r w:rsidR="00E8727E">
              <w:t xml:space="preserve">        </w:t>
            </w:r>
          </w:p>
          <w:p w:rsidR="002701F2" w:rsidRDefault="00E8727E" w:rsidP="00E8727E">
            <w:r>
              <w:t>(</w:t>
            </w:r>
            <w:proofErr w:type="spellStart"/>
            <w:r>
              <w:t>SPrep</w:t>
            </w:r>
            <w:proofErr w:type="spellEnd"/>
            <w:r>
              <w:t>:</w:t>
            </w:r>
            <w:r w:rsidR="00F21788">
              <w:t xml:space="preserve"> </w:t>
            </w:r>
            <w:r>
              <w:t xml:space="preserve"> </w:t>
            </w:r>
            <w:r w:rsidR="00F21788">
              <w:t>Enlace</w:t>
            </w:r>
            <w:r w:rsidR="002701F2">
              <w:t>+ SN/Término)</w:t>
            </w:r>
          </w:p>
        </w:tc>
        <w:tc>
          <w:tcPr>
            <w:tcW w:w="2500" w:type="pct"/>
          </w:tcPr>
          <w:p w:rsidR="002701F2" w:rsidRDefault="002701F2" w:rsidP="00F926FD">
            <w:r>
              <w:t xml:space="preserve">CD (de persona, </w:t>
            </w:r>
            <w:r w:rsidRPr="008C79CB">
              <w:rPr>
                <w:b/>
              </w:rPr>
              <w:t>sólo</w:t>
            </w:r>
            <w:r>
              <w:t xml:space="preserve"> con la </w:t>
            </w:r>
            <w:proofErr w:type="spellStart"/>
            <w:r>
              <w:t>prep</w:t>
            </w:r>
            <w:proofErr w:type="spellEnd"/>
            <w:r>
              <w:t>. “a”)</w:t>
            </w:r>
            <w:r w:rsidR="00ED6647">
              <w:t>.</w:t>
            </w:r>
          </w:p>
          <w:p w:rsidR="002701F2" w:rsidRDefault="002701F2" w:rsidP="00F926FD">
            <w:r>
              <w:t>CI (preposiciones “</w:t>
            </w:r>
            <w:proofErr w:type="gramStart"/>
            <w:r>
              <w:t>a</w:t>
            </w:r>
            <w:proofErr w:type="gramEnd"/>
            <w:r>
              <w:t>” o “para”</w:t>
            </w:r>
            <w:r w:rsidR="006B641E">
              <w:t>.</w:t>
            </w:r>
          </w:p>
          <w:p w:rsidR="002701F2" w:rsidRDefault="002701F2" w:rsidP="00F926FD">
            <w:r>
              <w:t xml:space="preserve">Adyacente (CN, </w:t>
            </w:r>
            <w:proofErr w:type="spellStart"/>
            <w:r>
              <w:t>CAdj</w:t>
            </w:r>
            <w:proofErr w:type="spellEnd"/>
            <w:r>
              <w:t xml:space="preserve"> o </w:t>
            </w:r>
            <w:proofErr w:type="spellStart"/>
            <w:r>
              <w:t>CAdv</w:t>
            </w:r>
            <w:proofErr w:type="spellEnd"/>
            <w:proofErr w:type="gramStart"/>
            <w:r>
              <w:t xml:space="preserve">:  </w:t>
            </w:r>
            <w:r w:rsidRPr="008C79CB">
              <w:rPr>
                <w:b/>
              </w:rPr>
              <w:t>normalmente</w:t>
            </w:r>
            <w:proofErr w:type="gramEnd"/>
            <w:r w:rsidRPr="008C79CB">
              <w:rPr>
                <w:b/>
              </w:rPr>
              <w:t xml:space="preserve"> </w:t>
            </w:r>
            <w:r>
              <w:t>se construye</w:t>
            </w:r>
            <w:r w:rsidR="006B641E">
              <w:t>n</w:t>
            </w:r>
            <w:r>
              <w:t xml:space="preserve"> con la </w:t>
            </w:r>
            <w:proofErr w:type="spellStart"/>
            <w:r>
              <w:t>p</w:t>
            </w:r>
            <w:r w:rsidR="006B641E">
              <w:t>rep</w:t>
            </w:r>
            <w:proofErr w:type="spellEnd"/>
            <w:r w:rsidR="006B641E">
              <w:t>. “de”, pero podrían construirse con</w:t>
            </w:r>
            <w:r>
              <w:t xml:space="preserve"> </w:t>
            </w:r>
            <w:r w:rsidR="006B641E">
              <w:t>otras: “con”, “sin”, “a”, etc.</w:t>
            </w:r>
          </w:p>
          <w:p w:rsidR="002701F2" w:rsidRDefault="006B641E" w:rsidP="00F926FD">
            <w:r>
              <w:t>CReg</w:t>
            </w:r>
            <w:r w:rsidR="002701F2">
              <w:t xml:space="preserve"> (con cualquier preposición)</w:t>
            </w:r>
            <w:r>
              <w:t>.</w:t>
            </w:r>
          </w:p>
          <w:p w:rsidR="002701F2" w:rsidRDefault="0050792F" w:rsidP="00F926FD">
            <w:r>
              <w:t>Complemento circunstanciale</w:t>
            </w:r>
            <w:r w:rsidR="006B641E">
              <w:t xml:space="preserve"> </w:t>
            </w:r>
            <w:r w:rsidR="002701F2">
              <w:t>(con cualquier preposición)</w:t>
            </w:r>
            <w:r w:rsidR="006B641E">
              <w:t>.</w:t>
            </w:r>
          </w:p>
          <w:p w:rsidR="002701F2" w:rsidRDefault="00671476" w:rsidP="00F926FD">
            <w:proofErr w:type="spellStart"/>
            <w:r>
              <w:t>CAg</w:t>
            </w:r>
            <w:proofErr w:type="spellEnd"/>
            <w:r w:rsidR="002701F2">
              <w:t xml:space="preserve"> (</w:t>
            </w:r>
            <w:r w:rsidR="002701F2" w:rsidRPr="000201F9">
              <w:rPr>
                <w:b/>
              </w:rPr>
              <w:t>sólo</w:t>
            </w:r>
            <w:r w:rsidR="002701F2">
              <w:t xml:space="preserve"> con la </w:t>
            </w:r>
            <w:proofErr w:type="spellStart"/>
            <w:r w:rsidR="002701F2">
              <w:t>prep</w:t>
            </w:r>
            <w:proofErr w:type="spellEnd"/>
            <w:r w:rsidR="002701F2">
              <w:t>. “por”)</w:t>
            </w:r>
            <w:r w:rsidR="006B641E">
              <w:t>.</w:t>
            </w:r>
          </w:p>
          <w:p w:rsidR="002701F2" w:rsidRDefault="002078F8" w:rsidP="00F926FD">
            <w:proofErr w:type="spellStart"/>
            <w:r>
              <w:t>Atrib</w:t>
            </w:r>
            <w:proofErr w:type="spellEnd"/>
            <w:r w:rsidR="002701F2">
              <w:t xml:space="preserve"> (</w:t>
            </w:r>
            <w:r w:rsidR="006B641E">
              <w:t xml:space="preserve">el </w:t>
            </w:r>
            <w:proofErr w:type="spellStart"/>
            <w:r w:rsidR="006B641E">
              <w:t>SPrep</w:t>
            </w:r>
            <w:proofErr w:type="spellEnd"/>
            <w:r w:rsidR="006B641E">
              <w:t xml:space="preserve">. </w:t>
            </w:r>
            <w:r w:rsidR="002701F2">
              <w:t>equivale a un adjetivo)</w:t>
            </w:r>
            <w:r w:rsidR="006B641E">
              <w:t>.</w:t>
            </w:r>
            <w:r>
              <w:t xml:space="preserve"> </w:t>
            </w:r>
            <w:proofErr w:type="spellStart"/>
            <w:r>
              <w:t>Infrec</w:t>
            </w:r>
            <w:proofErr w:type="spellEnd"/>
            <w:r>
              <w:t>.</w:t>
            </w:r>
          </w:p>
          <w:p w:rsidR="002701F2" w:rsidRDefault="002078F8" w:rsidP="00F926FD">
            <w:proofErr w:type="spellStart"/>
            <w:r>
              <w:t>CPvo</w:t>
            </w:r>
            <w:proofErr w:type="spellEnd"/>
            <w:r>
              <w:t xml:space="preserve"> de </w:t>
            </w:r>
            <w:proofErr w:type="spellStart"/>
            <w:r>
              <w:t>Suj</w:t>
            </w:r>
            <w:proofErr w:type="spellEnd"/>
            <w:r>
              <w:t xml:space="preserve"> o </w:t>
            </w:r>
            <w:proofErr w:type="spellStart"/>
            <w:r>
              <w:t>CPvo</w:t>
            </w:r>
            <w:proofErr w:type="spellEnd"/>
            <w:r w:rsidR="006B641E">
              <w:t xml:space="preserve"> de</w:t>
            </w:r>
            <w:r w:rsidR="002701F2">
              <w:t xml:space="preserve"> CD (</w:t>
            </w:r>
            <w:r w:rsidR="00671476">
              <w:t xml:space="preserve">el </w:t>
            </w:r>
            <w:proofErr w:type="spellStart"/>
            <w:r w:rsidR="00671476">
              <w:t>SPrep</w:t>
            </w:r>
            <w:proofErr w:type="spellEnd"/>
            <w:r w:rsidR="006B641E">
              <w:t xml:space="preserve"> </w:t>
            </w:r>
            <w:r w:rsidR="002701F2">
              <w:t>equivale a un adjetivo)</w:t>
            </w:r>
            <w:r w:rsidR="006B641E">
              <w:t>.</w:t>
            </w:r>
            <w:r w:rsidR="004A5C26">
              <w:t xml:space="preserve"> Infrecuente.</w:t>
            </w:r>
          </w:p>
        </w:tc>
      </w:tr>
      <w:tr w:rsidR="002701F2" w:rsidTr="00F926FD">
        <w:trPr>
          <w:trHeight w:val="135"/>
        </w:trPr>
        <w:tc>
          <w:tcPr>
            <w:tcW w:w="1250" w:type="pct"/>
            <w:vMerge w:val="restart"/>
          </w:tcPr>
          <w:p w:rsidR="002701F2" w:rsidRDefault="002701F2" w:rsidP="00F926FD">
            <w:r>
              <w:t>Verbo</w:t>
            </w:r>
          </w:p>
          <w:p w:rsidR="00671476" w:rsidRDefault="00671476" w:rsidP="00F926FD"/>
        </w:tc>
        <w:tc>
          <w:tcPr>
            <w:tcW w:w="1250" w:type="pct"/>
          </w:tcPr>
          <w:p w:rsidR="002701F2" w:rsidRDefault="002701F2" w:rsidP="00F926FD">
            <w:r>
              <w:t>Forma personal</w:t>
            </w:r>
          </w:p>
        </w:tc>
        <w:tc>
          <w:tcPr>
            <w:tcW w:w="2500" w:type="pct"/>
          </w:tcPr>
          <w:p w:rsidR="002701F2" w:rsidRDefault="00671476" w:rsidP="00F926FD">
            <w:r>
              <w:t>Núcleo SV/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Nom</w:t>
            </w:r>
            <w:proofErr w:type="spellEnd"/>
            <w:r>
              <w:t xml:space="preserve"> o SV/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.</w:t>
            </w:r>
          </w:p>
        </w:tc>
      </w:tr>
      <w:tr w:rsidR="002701F2" w:rsidTr="00F926FD">
        <w:trPr>
          <w:trHeight w:val="135"/>
        </w:trPr>
        <w:tc>
          <w:tcPr>
            <w:tcW w:w="1250" w:type="pct"/>
            <w:vMerge/>
          </w:tcPr>
          <w:p w:rsidR="002701F2" w:rsidRDefault="002701F2" w:rsidP="00F926FD"/>
        </w:tc>
        <w:tc>
          <w:tcPr>
            <w:tcW w:w="1250" w:type="pct"/>
          </w:tcPr>
          <w:p w:rsidR="002701F2" w:rsidRDefault="002701F2" w:rsidP="00F926FD">
            <w:r>
              <w:t>Forma no p</w:t>
            </w:r>
            <w:r w:rsidR="003B7C62">
              <w:t>ersonal (infinitivo, participio y</w:t>
            </w:r>
            <w:r>
              <w:t xml:space="preserve"> gerundio)</w:t>
            </w:r>
          </w:p>
        </w:tc>
        <w:tc>
          <w:tcPr>
            <w:tcW w:w="2500" w:type="pct"/>
          </w:tcPr>
          <w:p w:rsidR="002701F2" w:rsidRDefault="002701F2" w:rsidP="00F926FD">
            <w:r>
              <w:t>Funciones del sustantivo, adjetivo y adverbio</w:t>
            </w:r>
            <w:r w:rsidR="00671476">
              <w:t>.</w:t>
            </w:r>
          </w:p>
          <w:p w:rsidR="002701F2" w:rsidRDefault="002701F2" w:rsidP="00F926FD">
            <w:r>
              <w:t>Núc</w:t>
            </w:r>
            <w:r w:rsidR="00397B30">
              <w:t>leo de  construcción</w:t>
            </w:r>
            <w:r>
              <w:t xml:space="preserve"> de infinitivo, participio y gerundio</w:t>
            </w:r>
            <w:r w:rsidR="00671476">
              <w:t>.</w:t>
            </w:r>
          </w:p>
        </w:tc>
      </w:tr>
    </w:tbl>
    <w:p w:rsidR="00293815" w:rsidRDefault="00293815" w:rsidP="00A015FF"/>
    <w:sectPr w:rsidR="00293815" w:rsidSect="00293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51" w:rsidRDefault="00D44E51" w:rsidP="00A015FF">
      <w:pPr>
        <w:spacing w:after="0" w:line="240" w:lineRule="auto"/>
      </w:pPr>
      <w:r>
        <w:separator/>
      </w:r>
    </w:p>
  </w:endnote>
  <w:endnote w:type="continuationSeparator" w:id="0">
    <w:p w:rsidR="00D44E51" w:rsidRDefault="00D44E51" w:rsidP="00A0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51" w:rsidRDefault="00D44E51" w:rsidP="00A015FF">
      <w:pPr>
        <w:spacing w:after="0" w:line="240" w:lineRule="auto"/>
      </w:pPr>
      <w:r>
        <w:separator/>
      </w:r>
    </w:p>
  </w:footnote>
  <w:footnote w:type="continuationSeparator" w:id="0">
    <w:p w:rsidR="00D44E51" w:rsidRDefault="00D44E51" w:rsidP="00A01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1F2"/>
    <w:rsid w:val="002078F8"/>
    <w:rsid w:val="002701F2"/>
    <w:rsid w:val="00293815"/>
    <w:rsid w:val="00397B30"/>
    <w:rsid w:val="003B7C62"/>
    <w:rsid w:val="004A5C26"/>
    <w:rsid w:val="0050792F"/>
    <w:rsid w:val="00632506"/>
    <w:rsid w:val="00671476"/>
    <w:rsid w:val="006B641E"/>
    <w:rsid w:val="00A015FF"/>
    <w:rsid w:val="00D44E51"/>
    <w:rsid w:val="00E8727E"/>
    <w:rsid w:val="00ED6647"/>
    <w:rsid w:val="00ED6F8E"/>
    <w:rsid w:val="00F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FF"/>
  </w:style>
  <w:style w:type="paragraph" w:styleId="Piedepgina">
    <w:name w:val="footer"/>
    <w:basedOn w:val="Normal"/>
    <w:link w:val="PiedepginaCar"/>
    <w:uiPriority w:val="99"/>
    <w:unhideWhenUsed/>
    <w:rsid w:val="00A01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Usuario</cp:lastModifiedBy>
  <cp:revision>10</cp:revision>
  <dcterms:created xsi:type="dcterms:W3CDTF">2015-10-07T11:55:00Z</dcterms:created>
  <dcterms:modified xsi:type="dcterms:W3CDTF">2016-10-28T18:35:00Z</dcterms:modified>
</cp:coreProperties>
</file>