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jc w:val="center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0"/>
      </w:tblGrid>
      <w:tr w:rsidR="00E11E1B" w:rsidRPr="002C4C7A" w:rsidTr="007E0867">
        <w:trPr>
          <w:tblCellSpacing w:w="15" w:type="dxa"/>
          <w:jc w:val="center"/>
        </w:trPr>
        <w:tc>
          <w:tcPr>
            <w:tcW w:w="9210" w:type="dxa"/>
            <w:shd w:val="clear" w:color="auto" w:fill="CCCCCC"/>
            <w:vAlign w:val="center"/>
            <w:hideMark/>
          </w:tcPr>
          <w:p w:rsidR="00E11E1B" w:rsidRPr="002C4C7A" w:rsidRDefault="00682A24" w:rsidP="00BA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CARACTERÍSTICAS DE LAS PROPOSICIONES</w:t>
            </w:r>
            <w:r w:rsidR="00E11E1B" w:rsidRPr="002C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SUBORDINADAS ADJETIVAS </w:t>
            </w:r>
          </w:p>
        </w:tc>
      </w:tr>
      <w:tr w:rsidR="00E11E1B" w:rsidRPr="002C4C7A" w:rsidTr="00BA663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1E1B" w:rsidRPr="002C4C7A" w:rsidRDefault="00E11E1B" w:rsidP="009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C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Son subordinadas adjetivas las proposiciones que desempeñan, en el seno de una oración compuesta, la función de una adjetivo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Adyacente o 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CN), es decir, expresan, como el adjet</w:t>
            </w:r>
            <w:r w:rsidR="00970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ivo, una característica de un sustantivo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, llamado 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s-ES"/>
              </w:rPr>
              <w:t>antecedente</w:t>
            </w:r>
            <w:r w:rsidRPr="002C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:</w:t>
            </w:r>
          </w:p>
          <w:p w:rsidR="00E11E1B" w:rsidRPr="002C4C7A" w:rsidRDefault="003A4B72" w:rsidP="009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“</w:t>
            </w:r>
            <w:r w:rsidR="00E11E1B" w:rsidRPr="002C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Me desagradan las personas </w:t>
            </w:r>
            <w:r w:rsidR="00E11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gritonas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”.</w:t>
            </w:r>
          </w:p>
          <w:p w:rsidR="002C4C7A" w:rsidRPr="003A4B72" w:rsidRDefault="003A4B72" w:rsidP="0097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“</w:t>
            </w:r>
            <w:r w:rsidR="00E11E1B" w:rsidRPr="002C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Me desagradan las personas</w:t>
            </w:r>
            <w:r w:rsidR="00E11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s-ES"/>
              </w:rPr>
              <w:t>que gritan mucho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”.</w:t>
            </w:r>
          </w:p>
          <w:p w:rsidR="002C4C7A" w:rsidRDefault="00AB362A" w:rsidP="00970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prop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sub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</w:t>
            </w:r>
            <w:r w:rsidR="00970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dj</w:t>
            </w:r>
            <w:proofErr w:type="spellEnd"/>
            <w:proofErr w:type="gramEnd"/>
            <w:r w:rsidR="00970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  introducidas por el pronombre relativo-posesivo (cuyo, -a, -os, -as),</w:t>
            </w:r>
          </w:p>
          <w:p w:rsidR="002C4C7A" w:rsidRPr="002C4C7A" w:rsidRDefault="00970A27" w:rsidP="00970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además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de </w:t>
            </w:r>
            <w:r w:rsidRPr="00970A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s-ES"/>
              </w:rPr>
              <w:t>antecedente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tendrán también un </w:t>
            </w:r>
            <w:r w:rsidRPr="00970A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es-ES"/>
              </w:rPr>
              <w:t>consecuente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</w:t>
            </w:r>
          </w:p>
        </w:tc>
      </w:tr>
      <w:tr w:rsidR="00E11E1B" w:rsidRPr="002C4C7A" w:rsidTr="00BA663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1E1B" w:rsidRPr="002C4C7A" w:rsidRDefault="00682A24" w:rsidP="00BA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NEXOS</w:t>
            </w:r>
          </w:p>
        </w:tc>
      </w:tr>
      <w:tr w:rsidR="00E11E1B" w:rsidRPr="002C4C7A" w:rsidTr="00BA663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79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5"/>
            </w:tblGrid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2850" w:type="dxa"/>
                  <w:shd w:val="clear" w:color="auto" w:fill="DADEEF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PRONOMBRES RELATIVOS: 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63EE0" w:rsidRPr="002C4C7A" w:rsidRDefault="00682A24" w:rsidP="00A63EE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el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, la, los las) 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que; quien,-es; (el, la, los, las) cual, -es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; cuyo, -a, -os, -as. Podr</w:t>
                  </w:r>
                  <w:r w:rsidR="00A63E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án llevar delante preposiciones. En este caso, el pronombre relativo </w:t>
                  </w:r>
                  <w:r w:rsidR="00A63EE0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precedido de preposición forma un sintagma preposicional </w:t>
                  </w:r>
                  <w:r w:rsidR="00AB36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(con la función que le corresponda) </w:t>
                  </w:r>
                  <w:r w:rsidR="00A63EE0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que es parte integr</w:t>
                  </w:r>
                  <w:r w:rsidR="00A63E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ante de la proposición adjetiva.    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63EE0" w:rsidRDefault="00A63EE0" w:rsidP="00E11E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Ejemplos:</w:t>
                  </w:r>
                </w:p>
                <w:p w:rsidR="00E11E1B" w:rsidRPr="002C4C7A" w:rsidRDefault="003A4B72" w:rsidP="00E11E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“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Ocupan las h</w:t>
                  </w:r>
                  <w:r w:rsidR="008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abitaciones QUE están en el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extremo de la casa</w:t>
                  </w:r>
                  <w:r w:rsidR="008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”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.</w:t>
                  </w:r>
                </w:p>
                <w:p w:rsidR="002C4C7A" w:rsidRDefault="008D5900" w:rsidP="00E11E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“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Acaban de pintar esa pared sobre la CUAL te apoyas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”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.</w:t>
                  </w:r>
                </w:p>
                <w:p w:rsidR="002C4C7A" w:rsidRPr="002C4C7A" w:rsidRDefault="008D5900" w:rsidP="00E11E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“</w:t>
                  </w:r>
                  <w:r w:rsidR="00E11E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Vi a los actores a QUIENES conocisteis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”</w:t>
                  </w:r>
                  <w:r w:rsidR="00970A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.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1E1B" w:rsidRPr="002C4C7A" w:rsidRDefault="00E11E1B" w:rsidP="00E11E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1E1B" w:rsidRPr="002C4C7A" w:rsidRDefault="00E11E1B" w:rsidP="00A63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Cuyo,-a,-os,-as (SIEMPRE tiene función</w:t>
                  </w: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de determinante </w:t>
                  </w:r>
                  <w:r w:rsidR="00A63E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(DET</w:t>
                  </w: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del “</w:t>
                  </w:r>
                  <w:r w:rsidRPr="00682A2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u w:val="single"/>
                      <w:lang w:eastAsia="es-ES"/>
                    </w:rPr>
                    <w:t>consecuente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”</w:t>
                  </w:r>
                  <w:r w:rsidR="00682A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, es decir, del sustantivo que lleva detrás</w:t>
                  </w:r>
                  <w:r w:rsidR="00A63E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)</w:t>
                  </w:r>
                  <w:r w:rsidR="00682A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.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1E1B" w:rsidRPr="002C4C7A" w:rsidRDefault="00E11E1B" w:rsidP="00E11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4C7A" w:rsidRPr="002C4C7A" w:rsidRDefault="008D5900" w:rsidP="00682A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“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Esa es la casa CUYA 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u w:val="single"/>
                      <w:lang w:eastAsia="es-ES"/>
                    </w:rPr>
                    <w:t>fachada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se desplomó ayer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”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.</w:t>
                  </w:r>
                </w:p>
              </w:tc>
            </w:tr>
          </w:tbl>
          <w:p w:rsidR="00E11E1B" w:rsidRPr="002C4C7A" w:rsidRDefault="00E11E1B" w:rsidP="00BA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es-ES"/>
              </w:rPr>
            </w:pPr>
          </w:p>
          <w:tbl>
            <w:tblPr>
              <w:tblW w:w="679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5"/>
            </w:tblGrid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2850" w:type="dxa"/>
                  <w:shd w:val="clear" w:color="auto" w:fill="DADEEF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ADVERBIOS RELATIVOS: 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1E1B" w:rsidRPr="002C4C7A" w:rsidRDefault="00E11E1B" w:rsidP="00970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donde, como, cuando </w:t>
                  </w:r>
                  <w:r w:rsidR="00AB36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(tendrán un antecedente, y siempre función de complemento circunstancial de lugar, tiempo o modo)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1E1B" w:rsidRPr="002C4C7A" w:rsidRDefault="00E11E1B" w:rsidP="00970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1E1B" w:rsidRPr="002C4C7A" w:rsidRDefault="008D5900" w:rsidP="00970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“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Ese es el lugar DONDE hallaron el cadáver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”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(en que).</w:t>
                  </w:r>
                </w:p>
                <w:p w:rsidR="00E11E1B" w:rsidRPr="002C4C7A" w:rsidRDefault="008D5900" w:rsidP="00970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“Rememoró el día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CUANDO sucedieron los hechos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”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(en la que).</w:t>
                  </w:r>
                </w:p>
                <w:p w:rsidR="002C4C7A" w:rsidRPr="002C4C7A" w:rsidRDefault="008D5900" w:rsidP="00970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“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Me agrada la forma COMO lo dices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”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</w:t>
                  </w:r>
                  <w:r w:rsidR="00AB36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(en la que).</w:t>
                  </w:r>
                </w:p>
              </w:tc>
            </w:tr>
          </w:tbl>
          <w:p w:rsidR="00E11E1B" w:rsidRPr="002C4C7A" w:rsidRDefault="00E11E1B" w:rsidP="00BA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es-ES"/>
              </w:rPr>
            </w:pPr>
          </w:p>
          <w:tbl>
            <w:tblPr>
              <w:tblW w:w="679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5"/>
            </w:tblGrid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Pr="002C4C7A" w:rsidRDefault="00E11E1B" w:rsidP="00A63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2850" w:type="dxa"/>
                  <w:shd w:val="clear" w:color="auto" w:fill="DADEEF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FORMAS NO PERSONALES: 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1E1B" w:rsidRPr="002C4C7A" w:rsidRDefault="00E11E1B" w:rsidP="00A63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E11E1B" w:rsidRPr="002C4C7A" w:rsidTr="00BA6630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4C7A" w:rsidRPr="002C4C7A" w:rsidRDefault="00E11E1B" w:rsidP="00BA6630">
                  <w:pPr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PARTICIPIO: </w:t>
                  </w:r>
                  <w:r w:rsidR="008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“</w:t>
                  </w: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Vi a un perro HERIDO en una pata</w:t>
                  </w:r>
                  <w:r w:rsidR="008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”</w:t>
                  </w: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.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1E1B" w:rsidRPr="002C4C7A" w:rsidRDefault="00E11E1B" w:rsidP="00A63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E11E1B" w:rsidRPr="002C4C7A" w:rsidRDefault="00E11E1B" w:rsidP="00BA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E11E1B" w:rsidRPr="002C4C7A" w:rsidTr="00BA6630">
        <w:trPr>
          <w:trHeight w:val="25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1E1B" w:rsidRPr="002C4C7A" w:rsidRDefault="00E11E1B" w:rsidP="00BA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C4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/>
              </w:rPr>
              <w:t>EL ANTECEDENTE PUEDE SER...</w:t>
            </w:r>
          </w:p>
        </w:tc>
      </w:tr>
      <w:tr w:rsidR="00E11E1B" w:rsidRPr="002C4C7A" w:rsidTr="00BA663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79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5"/>
            </w:tblGrid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2850" w:type="dxa"/>
                  <w:shd w:val="clear" w:color="auto" w:fill="FFFFFF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ADEEF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ustantivo</w:t>
                  </w: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: 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C4C7A" w:rsidRPr="002C4C7A" w:rsidRDefault="008D5900" w:rsidP="00A63EE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“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Recordaba la época cuando era feliz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”.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ADEEF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Un pronombre: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Pr="002C4C7A" w:rsidRDefault="008D5900" w:rsidP="00BA6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“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Hay algunos que no se lo creen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”.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ADEEF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Una frase</w:t>
                  </w:r>
                  <w:r w:rsidR="00A63E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(no lo veremos en este curso)</w:t>
                  </w: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: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Pr="002C4C7A" w:rsidRDefault="008D5900" w:rsidP="00BA6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“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Anunció su boda, lo cual sorprendió a todos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”.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ADEEF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C4C7A" w:rsidRPr="002C4C7A" w:rsidRDefault="000C4F3C" w:rsidP="00E11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Pr="002C4C7A" w:rsidRDefault="00E11E1B" w:rsidP="00A63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E11E1B" w:rsidRPr="002C4C7A" w:rsidRDefault="00E11E1B" w:rsidP="00BA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E11E1B" w:rsidRPr="002C4C7A" w:rsidTr="00BA663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1E1B" w:rsidRPr="002C4C7A" w:rsidRDefault="00E11E1B" w:rsidP="00BA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C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LA FUNCIÓN DE LOS PRONOMBRES RELATIVOS</w:t>
            </w:r>
          </w:p>
        </w:tc>
      </w:tr>
      <w:tr w:rsidR="00E11E1B" w:rsidRPr="002C4C7A" w:rsidTr="00BA663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79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5"/>
            </w:tblGrid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Los pronombres relativos, adem</w:t>
                  </w:r>
                  <w:r w:rsidR="00AB36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ás de servir de nexo</w:t>
                  </w: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, realiz</w:t>
                  </w:r>
                  <w:r w:rsidR="00AB36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an una función propia del sustantivo</w:t>
                  </w: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dentro de la subordinada: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2850" w:type="dxa"/>
                  <w:shd w:val="clear" w:color="auto" w:fill="FFFFFF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Pr="002C4C7A" w:rsidRDefault="008D5900" w:rsidP="00970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“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Alcánzame la cazadora que (sujeto) está detrás de la silla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”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.</w:t>
                  </w:r>
                </w:p>
                <w:p w:rsidR="00E11E1B" w:rsidRPr="002C4C7A" w:rsidRDefault="008D5900" w:rsidP="00970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“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Se me ha roto la calculadora que (CD) me prestaste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”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.</w:t>
                  </w:r>
                </w:p>
                <w:p w:rsidR="00E11E1B" w:rsidRPr="002C4C7A" w:rsidRDefault="008D5900" w:rsidP="00970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“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La persona a quien (CI) entregaste el paquete no te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saludó”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.</w:t>
                  </w:r>
                </w:p>
                <w:p w:rsidR="002C4C7A" w:rsidRPr="002C4C7A" w:rsidRDefault="008D5900" w:rsidP="00970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lastRenderedPageBreak/>
                    <w:t>“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El coche en el que (CC</w:t>
                  </w:r>
                  <w:r w:rsidR="00E11E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L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) viajó era muy lujoso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”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.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Pr="002C4C7A" w:rsidRDefault="00E11E1B" w:rsidP="00970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lastRenderedPageBreak/>
                    <w:t> 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Default="00E11E1B" w:rsidP="00970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Las funciones del antecedente y del pronombre relativo no tienen por qué ser las mismas.</w:t>
                  </w:r>
                </w:p>
                <w:p w:rsidR="00682A24" w:rsidRDefault="00682A24" w:rsidP="00970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  <w:p w:rsidR="00682A24" w:rsidRDefault="00682A24" w:rsidP="008D0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El pronombre rel</w:t>
                  </w:r>
                  <w:r w:rsidR="008D09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ativo-posesivo 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uyo, -a, -os, -as</w:t>
                  </w:r>
                  <w:r w:rsidR="006F0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</w:t>
                  </w:r>
                  <w:r w:rsidR="00A63E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además de t</w:t>
                  </w:r>
                  <w:r w:rsidR="006F0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ener el</w:t>
                  </w:r>
                  <w:r w:rsidR="00A63E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anteced</w:t>
                  </w:r>
                  <w:r w:rsidR="006F0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ente,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tendrá </w:t>
                  </w:r>
                  <w:r w:rsidR="006F0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un </w:t>
                  </w:r>
                  <w:r w:rsidR="006F038E" w:rsidRPr="006F038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u w:val="single"/>
                      <w:lang w:eastAsia="es-ES"/>
                    </w:rPr>
                    <w:t>consecuente</w:t>
                  </w:r>
                  <w:r w:rsidR="006F038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es-ES"/>
                    </w:rPr>
                    <w:t xml:space="preserve">, </w:t>
                  </w:r>
                  <w:r w:rsidR="006F038E" w:rsidRPr="006F0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que es el sustantivo que</w:t>
                  </w:r>
                  <w:r w:rsidR="008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aparece</w:t>
                  </w:r>
                  <w:r w:rsidR="006F0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después</w:t>
                  </w:r>
                  <w:r w:rsidR="008D09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. L</w:t>
                  </w:r>
                  <w:r w:rsidRPr="006F0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a</w:t>
                  </w:r>
                  <w:r w:rsidR="008D09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función del </w:t>
                  </w:r>
                  <w:proofErr w:type="spellStart"/>
                  <w:r w:rsidR="008D09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pron</w:t>
                  </w:r>
                  <w:proofErr w:type="spellEnd"/>
                  <w:r w:rsidR="008D09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. </w:t>
                  </w:r>
                  <w:proofErr w:type="spellStart"/>
                  <w:proofErr w:type="gramStart"/>
                  <w:r w:rsidR="008D09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rel</w:t>
                  </w:r>
                  <w:proofErr w:type="gramEnd"/>
                  <w:r w:rsidR="008D09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.</w:t>
                  </w:r>
                  <w:proofErr w:type="spellEnd"/>
                  <w:r w:rsidR="008D09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</w:t>
                  </w:r>
                  <w:proofErr w:type="gramStart"/>
                  <w:r w:rsidR="008D09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posesi</w:t>
                  </w:r>
                  <w:r w:rsidR="008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vo</w:t>
                  </w:r>
                  <w:proofErr w:type="gramEnd"/>
                  <w:r w:rsidR="008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SIEMPRE es la de DET del</w:t>
                  </w:r>
                  <w:r w:rsidR="008D09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</w:t>
                  </w:r>
                  <w:r w:rsidRPr="00970A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u w:val="single"/>
                      <w:lang w:eastAsia="es-ES"/>
                    </w:rPr>
                    <w:t>consecuente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. La cuestión está en saber qué función sintáctica tiene dicho sustantivo</w:t>
                  </w:r>
                  <w:r w:rsidR="003A4B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.</w:t>
                  </w:r>
                </w:p>
                <w:p w:rsidR="00AB362A" w:rsidRPr="002C4C7A" w:rsidRDefault="003A4B72" w:rsidP="008D5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Ejemplo:</w:t>
                  </w:r>
                  <w:r w:rsidR="008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“</w:t>
                  </w:r>
                  <w:r w:rsidR="00AB36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Leo el libro cuyo autor ha ganado varios premios</w:t>
                  </w:r>
                  <w:r w:rsidR="008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”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. (Toda la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prop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. sub.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adj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. es Adyacente (o CN) de “libro”. “Cuyo” es el DET.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de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“autor” -el </w:t>
                  </w:r>
                  <w:r w:rsidRPr="003A4B7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u w:val="single"/>
                      <w:lang w:eastAsia="es-ES"/>
                    </w:rPr>
                    <w:t>consecuente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- y “autor” es el Núcleo del SN/SUJ del verbo “ha ganado”, Núcleo a su vez del SV/PRED. VERB.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de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la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prop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. Sub. Adjetiva).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</w:tr>
          </w:tbl>
          <w:p w:rsidR="00E11E1B" w:rsidRPr="002C4C7A" w:rsidRDefault="00E11E1B" w:rsidP="00BA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E11E1B" w:rsidRPr="002C4C7A" w:rsidTr="00BA663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1E1B" w:rsidRPr="002C4C7A" w:rsidRDefault="00E11E1B" w:rsidP="00BA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C4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/>
              </w:rPr>
              <w:lastRenderedPageBreak/>
              <w:t xml:space="preserve">TIPOS: EXPLICATIVAS Y ESPECIFICATIVAS </w:t>
            </w:r>
          </w:p>
        </w:tc>
      </w:tr>
      <w:tr w:rsidR="00E11E1B" w:rsidRPr="002C4C7A" w:rsidTr="00BA663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79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5"/>
            </w:tblGrid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Pr="002C4C7A" w:rsidRDefault="00E11E1B" w:rsidP="00970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Pr="002C4C7A" w:rsidRDefault="00E11E1B" w:rsidP="00970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Al igual que hay adjetivos que restringen el significado del nombre, los especificativos, y otros que se limitan a expresar una cualidad ya conocida, los explicativos, las subordinadas de relativo también tienen dos modos de significar: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2850" w:type="dxa"/>
                  <w:shd w:val="clear" w:color="auto" w:fill="FFFFFF"/>
                  <w:vAlign w:val="center"/>
                  <w:hideMark/>
                </w:tcPr>
                <w:p w:rsidR="00E11E1B" w:rsidRPr="002C4C7A" w:rsidRDefault="00E11E1B" w:rsidP="00970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Pr="002C4C7A" w:rsidRDefault="00E11E1B" w:rsidP="00970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ESPECIFICATIVA: </w:t>
                  </w:r>
                </w:p>
                <w:p w:rsidR="00E11E1B" w:rsidRPr="002C4C7A" w:rsidRDefault="008D5900" w:rsidP="00970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“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Han retirado los coches que estaban mal aparcados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”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. </w:t>
                  </w:r>
                </w:p>
                <w:p w:rsidR="002C4C7A" w:rsidRPr="002C4C7A" w:rsidRDefault="00E11E1B" w:rsidP="00970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(Sólo han retirado los que estaban mal aparcados).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Pr="002C4C7A" w:rsidRDefault="00E11E1B" w:rsidP="00970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Pr="002C4C7A" w:rsidRDefault="00E11E1B" w:rsidP="00970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EXPLICATIVA</w:t>
                  </w:r>
                  <w:r w:rsidR="00F16B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(Advierte el uso de la coma)</w:t>
                  </w: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: </w:t>
                  </w:r>
                </w:p>
                <w:p w:rsidR="00E11E1B" w:rsidRPr="002C4C7A" w:rsidRDefault="008D5900" w:rsidP="00970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“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Han retirado los coches, que estaban mal aparcados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”</w:t>
                  </w:r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. </w:t>
                  </w:r>
                </w:p>
                <w:p w:rsidR="002C4C7A" w:rsidRPr="002C4C7A" w:rsidRDefault="00F16B57" w:rsidP="00970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(Retiraron todos los coches, todos estaban mal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aparcado</w:t>
                  </w:r>
                  <w:proofErr w:type="gramEnd"/>
                  <w:r w:rsidR="00E11E1B"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).</w:t>
                  </w:r>
                </w:p>
              </w:tc>
            </w:tr>
            <w:tr w:rsidR="00E11E1B" w:rsidRPr="002C4C7A" w:rsidTr="00BA66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</w:tr>
          </w:tbl>
          <w:p w:rsidR="00E11E1B" w:rsidRPr="002C4C7A" w:rsidRDefault="00E11E1B" w:rsidP="00BA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E11E1B" w:rsidRPr="002C4C7A" w:rsidTr="00BA663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1E1B" w:rsidRPr="002C4C7A" w:rsidRDefault="00E11E1B" w:rsidP="00BA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C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LAS SUBORDINADAS ADJETIVAS SUSTANTIVADAS </w:t>
            </w:r>
          </w:p>
        </w:tc>
      </w:tr>
      <w:tr w:rsidR="00E11E1B" w:rsidRPr="002C4C7A" w:rsidTr="00BA663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79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5"/>
            </w:tblGrid>
            <w:tr w:rsidR="00E11E1B" w:rsidRPr="002C4C7A" w:rsidTr="00BA6630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Pr="002C4C7A" w:rsidRDefault="00E11E1B" w:rsidP="00BA6630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</w:tr>
            <w:tr w:rsidR="00E11E1B" w:rsidRPr="002C4C7A" w:rsidTr="00BA6630">
              <w:trPr>
                <w:trHeight w:val="118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C4C7A" w:rsidRDefault="00E11E1B" w:rsidP="007E08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Igual que los adjetivos, las subordinadas adjetivas pueden sustantivarse cuando desaparece el antecedente del relativo. Se constr</w:t>
                  </w:r>
                  <w:r w:rsidR="00B803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uyen habitualmente con los pronombres relativos</w:t>
                  </w: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</w:t>
                  </w:r>
                  <w:r w:rsidR="00B803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(</w:t>
                  </w: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sin </w:t>
                  </w:r>
                  <w:r w:rsidR="00B803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el </w:t>
                  </w: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antecedente</w:t>
                  </w:r>
                  <w:r w:rsidR="00B803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)</w:t>
                  </w: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y con </w:t>
                  </w:r>
                  <w:r w:rsidR="00B803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el </w:t>
                  </w: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ES"/>
                    </w:rPr>
                    <w:t xml:space="preserve">artículo </w:t>
                  </w:r>
                  <w:r w:rsidR="00B8036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es-ES"/>
                    </w:rPr>
                    <w:t xml:space="preserve">delante: </w:t>
                  </w:r>
                  <w:r w:rsidR="00B80360" w:rsidRPr="00B803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ES"/>
                    </w:rPr>
                    <w:t xml:space="preserve">el, la los las </w:t>
                  </w: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ES"/>
                    </w:rPr>
                    <w:t>+ que</w:t>
                  </w:r>
                  <w:r w:rsidR="00B803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.</w:t>
                  </w:r>
                </w:p>
                <w:p w:rsidR="007E0867" w:rsidRDefault="007E0867" w:rsidP="007E08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  <w:p w:rsidR="002C4C7A" w:rsidRDefault="00B80360" w:rsidP="003A4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Ejemplo:</w:t>
                  </w:r>
                </w:p>
                <w:p w:rsidR="002C4C7A" w:rsidRDefault="008D5900" w:rsidP="007E08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“</w:t>
                  </w:r>
                  <w:r w:rsidR="00B803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Rega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lo los libros que leo” </w:t>
                  </w:r>
                  <w:r w:rsidR="007E08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“Regalo los que leo”</w:t>
                  </w:r>
                  <w:r w:rsidR="00B803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.</w:t>
                  </w:r>
                  <w:r w:rsidR="007E08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(CD)</w:t>
                  </w:r>
                </w:p>
                <w:p w:rsidR="002C4C7A" w:rsidRPr="002C4C7A" w:rsidRDefault="000C4F3C" w:rsidP="007E08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E11E1B" w:rsidRPr="002C4C7A" w:rsidTr="00B80360">
              <w:trPr>
                <w:trHeight w:val="225"/>
                <w:tblCellSpacing w:w="0" w:type="dxa"/>
                <w:jc w:val="center"/>
              </w:trPr>
              <w:tc>
                <w:tcPr>
                  <w:tcW w:w="6795" w:type="dxa"/>
                  <w:shd w:val="clear" w:color="auto" w:fill="FFFFFF"/>
                  <w:vAlign w:val="center"/>
                  <w:hideMark/>
                </w:tcPr>
                <w:p w:rsidR="00E11E1B" w:rsidRPr="002C4C7A" w:rsidRDefault="00B80360" w:rsidP="007E08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es-ES"/>
                    </w:rPr>
                    <w:t>Las proposiciones subordinada</w:t>
                  </w:r>
                  <w:r w:rsidR="007E086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es-E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es-ES"/>
                    </w:rPr>
                    <w:t xml:space="preserve"> adjetiva</w:t>
                  </w:r>
                  <w:r w:rsidR="007E086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es-E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es-ES"/>
                    </w:rPr>
                    <w:t xml:space="preserve"> sustantivada</w:t>
                  </w:r>
                  <w:r w:rsidR="007E086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es-ES"/>
                    </w:rPr>
                    <w:t xml:space="preserve"> ya no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es-ES"/>
                    </w:rPr>
                    <w:t xml:space="preserve"> tiene</w:t>
                  </w:r>
                  <w:r w:rsidR="007E086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es-ES"/>
                    </w:rPr>
                    <w:t>n la función de Adyacente (o CN), sino las funciones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es-ES"/>
                    </w:rPr>
                    <w:t xml:space="preserve"> de las </w:t>
                  </w:r>
                  <w:proofErr w:type="spellStart"/>
                  <w:r w:rsidR="007E086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es-ES"/>
                    </w:rPr>
                    <w:t>Prop</w:t>
                  </w:r>
                  <w:proofErr w:type="spellEnd"/>
                  <w:r w:rsidR="007E086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es-ES"/>
                    </w:rPr>
                    <w:t xml:space="preserve">. Sub. </w:t>
                  </w:r>
                  <w:proofErr w:type="spellStart"/>
                  <w:r w:rsidR="007E086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es-ES"/>
                    </w:rPr>
                    <w:t>Sust</w:t>
                  </w:r>
                  <w:proofErr w:type="spellEnd"/>
                  <w:r w:rsidR="007E086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es-ES"/>
                    </w:rPr>
                    <w:t>.</w:t>
                  </w:r>
                </w:p>
              </w:tc>
            </w:tr>
            <w:tr w:rsidR="00E11E1B" w:rsidRPr="002C4C7A" w:rsidTr="00BA6630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Pr="002C4C7A" w:rsidRDefault="00E11E1B" w:rsidP="00F16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Recuerda que el nexo de la subordinada adjetiva</w:t>
                  </w:r>
                  <w:r w:rsidR="00B803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, el pronombre relativo,</w:t>
                  </w:r>
                  <w:r w:rsidR="00F16B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realiza </w:t>
                  </w: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una función sintá</w:t>
                  </w:r>
                  <w:r w:rsidR="007E08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ctica dentro de la subordinada adjetiva, aunque esté sustantivada (en el ejemplo anterior el “que” es el núcleo d</w:t>
                  </w:r>
                  <w:r w:rsidR="000C4F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el SN/CD</w:t>
                  </w:r>
                  <w:r w:rsidR="008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del verbo “leo</w:t>
                  </w:r>
                  <w:r w:rsidR="007E08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”</w:t>
                  </w:r>
                  <w:r w:rsidR="008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 </w:t>
                  </w:r>
                  <w:r w:rsidR="000C4F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en ambos casos</w:t>
                  </w:r>
                  <w:bookmarkStart w:id="0" w:name="_GoBack"/>
                  <w:bookmarkEnd w:id="0"/>
                  <w:r w:rsidR="007E08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).</w:t>
                  </w:r>
                </w:p>
              </w:tc>
            </w:tr>
            <w:tr w:rsidR="00E11E1B" w:rsidRPr="002C4C7A" w:rsidTr="00BA6630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1E1B" w:rsidRPr="002C4C7A" w:rsidRDefault="00E11E1B" w:rsidP="007E08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2C4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</w:tr>
          </w:tbl>
          <w:p w:rsidR="00E11E1B" w:rsidRPr="002C4C7A" w:rsidRDefault="00E11E1B" w:rsidP="00BA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:rsidR="00A63EE0" w:rsidRDefault="00A63EE0" w:rsidP="00F16B57">
      <w:pPr>
        <w:tabs>
          <w:tab w:val="left" w:pos="1260"/>
        </w:tabs>
      </w:pPr>
    </w:p>
    <w:sectPr w:rsidR="00A63E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1B"/>
    <w:rsid w:val="0003488C"/>
    <w:rsid w:val="000C4F3C"/>
    <w:rsid w:val="003A4B72"/>
    <w:rsid w:val="00682A24"/>
    <w:rsid w:val="006F038E"/>
    <w:rsid w:val="007E0867"/>
    <w:rsid w:val="008D0991"/>
    <w:rsid w:val="008D5900"/>
    <w:rsid w:val="00970A27"/>
    <w:rsid w:val="00A63EE0"/>
    <w:rsid w:val="00AB362A"/>
    <w:rsid w:val="00B80360"/>
    <w:rsid w:val="00E11E1B"/>
    <w:rsid w:val="00F16B57"/>
    <w:rsid w:val="00F2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2016-05-09T21:03:00Z</dcterms:created>
  <dcterms:modified xsi:type="dcterms:W3CDTF">2016-05-09T23:01:00Z</dcterms:modified>
</cp:coreProperties>
</file>