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F1" w:rsidRDefault="00AE30F1" w:rsidP="00AE30F1">
      <w:pPr>
        <w:ind w:firstLine="340"/>
        <w:rPr>
          <w:rFonts w:ascii="Arial Narrow" w:hAnsi="Arial Narrow" w:cs="Arial"/>
          <w:sz w:val="22"/>
          <w:szCs w:val="22"/>
        </w:rPr>
      </w:pPr>
      <w:r w:rsidRPr="00BA3670">
        <w:rPr>
          <w:rFonts w:ascii="Arial Narrow" w:hAnsi="Arial Narrow" w:cs="Arial"/>
          <w:sz w:val="22"/>
          <w:szCs w:val="22"/>
        </w:rPr>
        <w:t>Los alumnos que cursen la asignatura en la modalidad a distancia tendrán un examen por evaluación y su correspondiente recuperación en las fechas fijadas por Jefatura de Estudios y cono</w:t>
      </w:r>
      <w:r w:rsidR="001E228F">
        <w:rPr>
          <w:rFonts w:ascii="Arial Narrow" w:hAnsi="Arial Narrow" w:cs="Arial"/>
          <w:sz w:val="22"/>
          <w:szCs w:val="22"/>
        </w:rPr>
        <w:t>cen los contenidos para cada exa</w:t>
      </w:r>
      <w:r w:rsidRPr="00BA3670">
        <w:rPr>
          <w:rFonts w:ascii="Arial Narrow" w:hAnsi="Arial Narrow" w:cs="Arial"/>
          <w:sz w:val="22"/>
          <w:szCs w:val="22"/>
        </w:rPr>
        <w:t>men</w:t>
      </w:r>
      <w:r w:rsidR="001E228F">
        <w:rPr>
          <w:rFonts w:ascii="Arial Narrow" w:hAnsi="Arial Narrow" w:cs="Arial"/>
          <w:sz w:val="22"/>
          <w:szCs w:val="22"/>
        </w:rPr>
        <w:t xml:space="preserve"> </w:t>
      </w:r>
      <w:r w:rsidRPr="00BA3670">
        <w:rPr>
          <w:rFonts w:ascii="Arial Narrow" w:hAnsi="Arial Narrow" w:cs="Arial"/>
          <w:sz w:val="22"/>
          <w:szCs w:val="22"/>
        </w:rPr>
        <w:t>publicados en la página web del IES.</w:t>
      </w:r>
      <w:r w:rsidR="001E228F">
        <w:rPr>
          <w:rFonts w:ascii="Arial Narrow" w:hAnsi="Arial Narrow" w:cs="Arial"/>
          <w:sz w:val="22"/>
          <w:szCs w:val="22"/>
        </w:rPr>
        <w:t xml:space="preserve"> No se exige libro de texto, aunque el libro de consulta recomendado es Química de la editorial OXFORD.</w:t>
      </w:r>
      <w:r w:rsidR="00BD18EA">
        <w:rPr>
          <w:rFonts w:ascii="Arial Narrow" w:hAnsi="Arial Narrow" w:cs="Arial"/>
          <w:sz w:val="22"/>
          <w:szCs w:val="22"/>
        </w:rPr>
        <w:t xml:space="preserve"> El contacto con el profesor se realizará por Papas 2.0.</w:t>
      </w:r>
      <w:bookmarkStart w:id="0" w:name="_GoBack"/>
      <w:bookmarkEnd w:id="0"/>
    </w:p>
    <w:p w:rsidR="00AE30F1" w:rsidRPr="00BA3670" w:rsidRDefault="00AE30F1" w:rsidP="00AE30F1">
      <w:pPr>
        <w:ind w:firstLine="34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985"/>
      </w:tblGrid>
      <w:tr w:rsidR="00AE30F1" w:rsidRPr="00BA3670" w:rsidTr="00CE68BC">
        <w:tc>
          <w:tcPr>
            <w:tcW w:w="3227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Bloque I: La actividad científica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Estrategias y resolución de problemas y defensa de informes</w:t>
            </w:r>
          </w:p>
        </w:tc>
        <w:tc>
          <w:tcPr>
            <w:tcW w:w="1985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 xml:space="preserve">1º EVALUACIÓN </w:t>
            </w:r>
          </w:p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2ª EVALUACIÓN</w:t>
            </w:r>
          </w:p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3ª EVALUACIÓN</w:t>
            </w:r>
          </w:p>
        </w:tc>
      </w:tr>
      <w:tr w:rsidR="00AE30F1" w:rsidRPr="00BA3670" w:rsidTr="00CE68BC">
        <w:tc>
          <w:tcPr>
            <w:tcW w:w="3227" w:type="dxa"/>
            <w:vMerge w:val="restart"/>
            <w:tcBorders>
              <w:righ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Bloque 2: Origen y evolución de los componentes del universo</w:t>
            </w:r>
          </w:p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1ª EVALUACIÓN</w:t>
            </w: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Átomo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Sistema periódico y propiedades periódicas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Enlace covalente: TRPECV Y EV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Enlace iónico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Enlace metálico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Fuerzas Intermoleculares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 w:val="restart"/>
            <w:tcBorders>
              <w:righ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Bloque 4: Orgánica y nuevos materiales</w:t>
            </w:r>
          </w:p>
        </w:tc>
        <w:tc>
          <w:tcPr>
            <w:tcW w:w="2693" w:type="dxa"/>
            <w:tcBorders>
              <w:lef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2ª EVALUACIÓN</w:t>
            </w: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Formulación y nomenclatura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Reacciones orgánicas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Macromoléculas y polímeros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 w:val="restart"/>
            <w:tcBorders>
              <w:righ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Bloque 3: Reacciones químicas</w:t>
            </w:r>
          </w:p>
        </w:tc>
        <w:tc>
          <w:tcPr>
            <w:tcW w:w="2693" w:type="dxa"/>
            <w:tcBorders>
              <w:left w:val="nil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Velocidad de reacción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Equilibrio químico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Reacciones de precipitación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Reacciones de ácido-base</w:t>
            </w:r>
          </w:p>
        </w:tc>
        <w:tc>
          <w:tcPr>
            <w:tcW w:w="1985" w:type="dxa"/>
            <w:vMerge w:val="restart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3ª EVALUACIÓN</w:t>
            </w: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Volumetrías ácido-base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Hidrólisis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Reacciones de oxidación-reducción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Estequiometría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Pilas galvánicas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30F1" w:rsidRPr="00BA3670" w:rsidTr="00CE68BC">
        <w:tc>
          <w:tcPr>
            <w:tcW w:w="3227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  <w:r w:rsidRPr="00BA3670">
              <w:rPr>
                <w:rFonts w:ascii="Arial Narrow" w:hAnsi="Arial Narrow"/>
                <w:sz w:val="20"/>
                <w:szCs w:val="20"/>
              </w:rPr>
              <w:t>Electrolisis y aplicaciones</w:t>
            </w:r>
          </w:p>
        </w:tc>
        <w:tc>
          <w:tcPr>
            <w:tcW w:w="1985" w:type="dxa"/>
            <w:vMerge/>
          </w:tcPr>
          <w:p w:rsidR="00AE30F1" w:rsidRPr="00BA3670" w:rsidRDefault="00AE30F1" w:rsidP="00CE68B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E30F1" w:rsidRDefault="00AE30F1" w:rsidP="00AE30F1">
      <w:pPr>
        <w:rPr>
          <w:rFonts w:ascii="Arial Narrow" w:hAnsi="Arial Narrow" w:cs="Arial"/>
        </w:rPr>
      </w:pPr>
    </w:p>
    <w:p w:rsidR="00AE30F1" w:rsidRPr="0087277F" w:rsidRDefault="00AE30F1" w:rsidP="00AE30F1">
      <w:pPr>
        <w:rPr>
          <w:rFonts w:ascii="Arial Narrow" w:hAnsi="Arial Narrow" w:cs="Arial"/>
        </w:rPr>
      </w:pPr>
    </w:p>
    <w:p w:rsidR="000A1291" w:rsidRDefault="000A1291"/>
    <w:sectPr w:rsidR="000A1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F1"/>
    <w:rsid w:val="000A1291"/>
    <w:rsid w:val="001E228F"/>
    <w:rsid w:val="00AE30F1"/>
    <w:rsid w:val="00B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2GB32bits</dc:creator>
  <cp:lastModifiedBy>2GB32bits</cp:lastModifiedBy>
  <cp:revision>4</cp:revision>
  <dcterms:created xsi:type="dcterms:W3CDTF">2020-09-20T21:32:00Z</dcterms:created>
  <dcterms:modified xsi:type="dcterms:W3CDTF">2020-09-22T18:16:00Z</dcterms:modified>
</cp:coreProperties>
</file>