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D8" w:rsidRDefault="00E46CD8" w:rsidP="00E46CD8">
      <w:pPr>
        <w:ind w:firstLine="708"/>
        <w:jc w:val="both"/>
        <w:rPr>
          <w:b/>
        </w:rPr>
      </w:pPr>
      <w:r>
        <w:rPr>
          <w:b/>
        </w:rPr>
        <w:t>ASIGNATURA</w:t>
      </w:r>
      <w:r>
        <w:t xml:space="preserve">: CIENCIAS DE LA TIERRA Y MEDIO AMBIENTE    2º DE BACHILLERATO       </w:t>
      </w:r>
      <w:r>
        <w:tab/>
      </w:r>
      <w:r>
        <w:rPr>
          <w:b/>
        </w:rPr>
        <w:t>CURSO</w:t>
      </w:r>
      <w:r>
        <w:t>: 2021-2022</w:t>
      </w:r>
    </w:p>
    <w:p w:rsidR="00E46CD8" w:rsidRDefault="00E46CD8" w:rsidP="00E46CD8">
      <w:pPr>
        <w:ind w:left="705"/>
        <w:jc w:val="both"/>
      </w:pPr>
      <w:r>
        <w:rPr>
          <w:b/>
        </w:rPr>
        <w:t>MATERIALES</w:t>
      </w:r>
      <w:r>
        <w:t xml:space="preserve">: Esta materia no se ajusta a un libro de texto concreto, aun así son de fácil acceso en cualquier </w:t>
      </w:r>
    </w:p>
    <w:p w:rsidR="00E46CD8" w:rsidRDefault="00E46CD8" w:rsidP="00E46CD8">
      <w:pPr>
        <w:ind w:left="705"/>
        <w:jc w:val="both"/>
      </w:pPr>
      <w:proofErr w:type="gramStart"/>
      <w:r>
        <w:t>texto</w:t>
      </w:r>
      <w:proofErr w:type="gramEnd"/>
      <w:r>
        <w:t xml:space="preserve"> de Ciencias de la tierra y del medioambiente de 2º de bachillerato LOMCE.  Los apuntes y diapositivas, así como ciertos materiales complementarios como imágenes, videos u otros contenidos teóricos se </w:t>
      </w:r>
    </w:p>
    <w:p w:rsidR="00E46CD8" w:rsidRDefault="00E46CD8" w:rsidP="00E46CD8">
      <w:pPr>
        <w:ind w:left="705"/>
        <w:jc w:val="both"/>
      </w:pPr>
      <w:proofErr w:type="gramStart"/>
      <w:r>
        <w:t>facilitarán</w:t>
      </w:r>
      <w:proofErr w:type="gramEnd"/>
      <w:r>
        <w:t xml:space="preserve"> a través de la plataforma </w:t>
      </w:r>
      <w:proofErr w:type="spellStart"/>
      <w:r>
        <w:t>EducamosCLM</w:t>
      </w:r>
      <w:proofErr w:type="spellEnd"/>
      <w:r>
        <w:t>-aulas virtuales.</w:t>
      </w:r>
    </w:p>
    <w:tbl>
      <w:tblPr>
        <w:tblpPr w:leftFromText="141" w:rightFromText="141" w:vertAnchor="page" w:horzAnchor="margin" w:tblpX="-410" w:tblpY="3351"/>
        <w:tblW w:w="54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983"/>
        <w:gridCol w:w="7923"/>
        <w:gridCol w:w="724"/>
      </w:tblGrid>
      <w:tr w:rsidR="005821AA" w:rsidRPr="00197AB6" w:rsidTr="005821AA"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Evaluación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Unidad Didáctica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CONTENIDOS</w:t>
            </w:r>
          </w:p>
        </w:tc>
        <w:tc>
          <w:tcPr>
            <w:tcW w:w="315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</w:pPr>
            <w:r>
              <w:rPr>
                <w:rFonts w:ascii="Agency FB" w:hAnsi="Agency FB" w:cs="Arial"/>
                <w:b/>
                <w:noProof/>
                <w:color w:val="E36C0A"/>
                <w:sz w:val="20"/>
                <w:szCs w:val="20"/>
              </w:rPr>
              <w:t>EXÁMENES</w:t>
            </w:r>
          </w:p>
        </w:tc>
      </w:tr>
      <w:tr w:rsidR="005821AA" w:rsidRPr="00197AB6" w:rsidTr="005821AA">
        <w:trPr>
          <w:cantSplit/>
          <w:trHeight w:val="735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noProof/>
                <w:sz w:val="20"/>
                <w:szCs w:val="20"/>
              </w:rPr>
              <w:t>1ª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342297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CONCEPTO DE MEDIO AMBIENTE Y DINÁMICA DE SISTEMAS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B97721" w:rsidRDefault="005821AA" w:rsidP="005821AA">
            <w:pPr>
              <w:pStyle w:val="Prrafodelista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B97721">
              <w:rPr>
                <w:rFonts w:ascii="Agency FB" w:hAnsi="Agency FB" w:cs="ArialMT"/>
              </w:rPr>
              <w:t>Sistemas y sus modelos. El medio ambiente como sistema.</w:t>
            </w:r>
          </w:p>
          <w:p w:rsidR="005821AA" w:rsidRPr="00CE6864" w:rsidRDefault="005821AA" w:rsidP="005821AA">
            <w:pPr>
              <w:pStyle w:val="Prrafodelista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B97721">
              <w:rPr>
                <w:rFonts w:ascii="Agency FB" w:hAnsi="Agency FB" w:cs="ArialMT"/>
              </w:rPr>
              <w:t>Cambios ambientales como consecuencia de la aparición de la vida y de las actividades humanas a lo largo de la historia.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</w:tcBorders>
          </w:tcPr>
          <w:p w:rsidR="005821AA" w:rsidRPr="00B97721" w:rsidRDefault="005821AA" w:rsidP="005821AA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  <w:bookmarkStart w:id="0" w:name="_GoBack"/>
            <w:bookmarkEnd w:id="0"/>
          </w:p>
        </w:tc>
      </w:tr>
      <w:tr w:rsidR="005821AA" w:rsidRPr="00197AB6" w:rsidTr="005821AA">
        <w:trPr>
          <w:cantSplit/>
          <w:trHeight w:val="891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977EB4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LA HUMANIDAD Y EL MEDIOAMBIENTE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CE6864" w:rsidRDefault="005821AA" w:rsidP="005821AA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CE6864">
              <w:rPr>
                <w:rFonts w:ascii="Agency FB" w:hAnsi="Agency FB" w:cs="ArialMT"/>
              </w:rPr>
              <w:t>Los recursos naturales.</w:t>
            </w:r>
          </w:p>
          <w:p w:rsidR="005821AA" w:rsidRPr="00CE6864" w:rsidRDefault="005821AA" w:rsidP="005821AA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CE6864">
              <w:rPr>
                <w:rFonts w:ascii="Agency FB" w:hAnsi="Agency FB" w:cs="ArialMT"/>
              </w:rPr>
              <w:t>Los riesgos.</w:t>
            </w:r>
          </w:p>
          <w:p w:rsidR="005821AA" w:rsidRPr="00CE6864" w:rsidRDefault="005821AA" w:rsidP="005821AA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CE6864">
              <w:rPr>
                <w:rFonts w:ascii="Agency FB" w:hAnsi="Agency FB" w:cs="ArialMT"/>
              </w:rPr>
              <w:t>Los impactos ambientales.</w:t>
            </w:r>
          </w:p>
          <w:p w:rsidR="005821AA" w:rsidRPr="00CE6864" w:rsidRDefault="005821AA" w:rsidP="005821AA">
            <w:pPr>
              <w:pStyle w:val="Prrafodelista"/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CE6864">
              <w:rPr>
                <w:rFonts w:ascii="Agency FB" w:hAnsi="Agency FB" w:cs="ArialMT"/>
              </w:rPr>
              <w:t>Principales instrumentos de información ambiental.</w:t>
            </w:r>
          </w:p>
        </w:tc>
        <w:tc>
          <w:tcPr>
            <w:tcW w:w="315" w:type="pct"/>
            <w:vMerge/>
          </w:tcPr>
          <w:p w:rsidR="005821AA" w:rsidRPr="00CE6864" w:rsidRDefault="005821AA" w:rsidP="005821AA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363"/>
        </w:trPr>
        <w:tc>
          <w:tcPr>
            <w:tcW w:w="374" w:type="pct"/>
            <w:vMerge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977EB4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HACIA UN DESARROLLO SOSTENIBLE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FC41B5" w:rsidRDefault="005821AA" w:rsidP="005821AA">
            <w:pPr>
              <w:pStyle w:val="Prrafodelista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C41B5">
              <w:rPr>
                <w:rFonts w:ascii="Agency FB" w:hAnsi="Agency FB" w:cs="ArialMT"/>
              </w:rPr>
              <w:t>Los modelos de desarrollo.</w:t>
            </w:r>
          </w:p>
          <w:p w:rsidR="005821AA" w:rsidRPr="000922C5" w:rsidRDefault="005821AA" w:rsidP="005821AA">
            <w:pPr>
              <w:pStyle w:val="Prrafodelista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C41B5">
              <w:rPr>
                <w:rFonts w:ascii="Agency FB" w:hAnsi="Agency FB" w:cs="ArialMT"/>
              </w:rPr>
              <w:t>Análisis y gestión ambiental. Instrumentos.</w:t>
            </w:r>
          </w:p>
        </w:tc>
        <w:tc>
          <w:tcPr>
            <w:tcW w:w="315" w:type="pct"/>
            <w:vMerge/>
          </w:tcPr>
          <w:p w:rsidR="005821AA" w:rsidRPr="00FC41B5" w:rsidRDefault="005821AA" w:rsidP="005821AA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1243"/>
        </w:trPr>
        <w:tc>
          <w:tcPr>
            <w:tcW w:w="374" w:type="pct"/>
            <w:vMerge/>
            <w:tcBorders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both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977EB4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sz w:val="18"/>
                <w:szCs w:val="18"/>
              </w:rPr>
              <w:t>SISTEMA BIOSFERA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6A67FF" w:rsidRDefault="005821AA" w:rsidP="005821A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Los ecosistemas, los biomas y la biosfera.</w:t>
            </w:r>
          </w:p>
          <w:p w:rsidR="005821AA" w:rsidRPr="006A67FF" w:rsidRDefault="005821AA" w:rsidP="005821A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Las relaciones tróficas de los ecosistemas. Parámetros tróficos. Factores que influyen en la producción primaria.</w:t>
            </w:r>
          </w:p>
          <w:p w:rsidR="005821AA" w:rsidRPr="006A67FF" w:rsidRDefault="005821AA" w:rsidP="005821A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Flujo de energía y ciclo de la materia en los ecosistemas. Ciclos biogeoquímicos.</w:t>
            </w:r>
          </w:p>
          <w:p w:rsidR="005821AA" w:rsidRPr="006A67FF" w:rsidRDefault="005821AA" w:rsidP="005821AA">
            <w:pPr>
              <w:pStyle w:val="Prrafodelista"/>
              <w:widowControl/>
              <w:numPr>
                <w:ilvl w:val="0"/>
                <w:numId w:val="5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6A67FF">
              <w:rPr>
                <w:rFonts w:ascii="Agency FB" w:hAnsi="Agency FB" w:cs="ArialMT"/>
              </w:rPr>
              <w:t>La autorregulación de los ecosistemas y la repercusión de la acción humana.</w:t>
            </w:r>
          </w:p>
          <w:p w:rsidR="005821AA" w:rsidRPr="006A67FF" w:rsidRDefault="005821AA" w:rsidP="005821AA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6A67FF">
              <w:rPr>
                <w:rFonts w:ascii="Agency FB" w:hAnsi="Agency FB" w:cs="ArialMT"/>
              </w:rPr>
              <w:t>La biodiversidad, su importancia y su pérdida.</w:t>
            </w:r>
          </w:p>
        </w:tc>
        <w:tc>
          <w:tcPr>
            <w:tcW w:w="315" w:type="pct"/>
            <w:vMerge/>
            <w:tcBorders>
              <w:bottom w:val="outset" w:sz="6" w:space="0" w:color="auto"/>
            </w:tcBorders>
          </w:tcPr>
          <w:p w:rsidR="005821AA" w:rsidRPr="006A67FF" w:rsidRDefault="005821AA" w:rsidP="005821AA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820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noProof/>
                <w:sz w:val="20"/>
                <w:szCs w:val="20"/>
              </w:rPr>
              <w:t>2ª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0E0F20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GEOSFERA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EC221D" w:rsidRDefault="005821AA" w:rsidP="005821AA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EC221D">
              <w:rPr>
                <w:rFonts w:ascii="Agency FB" w:hAnsi="Agency FB" w:cs="ArialMT"/>
              </w:rPr>
              <w:t>Los riesgos geológicos internos. Los factores del riesgo geológico sísmico y volcánico. Los métodos de predicción y prevención</w:t>
            </w:r>
          </w:p>
          <w:p w:rsidR="005821AA" w:rsidRPr="00EC221D" w:rsidRDefault="005821AA" w:rsidP="005821AA">
            <w:pPr>
              <w:pStyle w:val="Prrafodelista"/>
              <w:widowControl/>
              <w:numPr>
                <w:ilvl w:val="0"/>
                <w:numId w:val="6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EC221D">
              <w:rPr>
                <w:rFonts w:ascii="Agency FB" w:hAnsi="Agency FB" w:cs="ArialMT"/>
              </w:rPr>
              <w:t>El relieve como resultado de la interacción de la dinámica interna y la externa.</w:t>
            </w:r>
          </w:p>
          <w:p w:rsidR="005821AA" w:rsidRPr="00EC221D" w:rsidRDefault="005821AA" w:rsidP="005821AA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EC221D">
              <w:rPr>
                <w:rFonts w:ascii="Agency FB" w:hAnsi="Agency FB" w:cs="ArialMT"/>
              </w:rPr>
              <w:t>Los riesgos asociados a los sistemas de ladera y fluviales.</w:t>
            </w:r>
          </w:p>
        </w:tc>
        <w:tc>
          <w:tcPr>
            <w:tcW w:w="315" w:type="pct"/>
            <w:vMerge w:val="restart"/>
            <w:tcBorders>
              <w:top w:val="outset" w:sz="6" w:space="0" w:color="auto"/>
            </w:tcBorders>
          </w:tcPr>
          <w:p w:rsidR="005821AA" w:rsidRPr="00EC221D" w:rsidRDefault="005821AA" w:rsidP="005821AA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1501"/>
        </w:trPr>
        <w:tc>
          <w:tcPr>
            <w:tcW w:w="374" w:type="pct"/>
            <w:vMerge/>
            <w:tcBorders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0E0F20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CAPAS FLUIDAS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907093" w:rsidRDefault="005821AA" w:rsidP="005821AA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07093">
              <w:rPr>
                <w:rFonts w:ascii="Agency FB" w:hAnsi="Agency FB" w:cs="ArialMT"/>
              </w:rPr>
              <w:t>Composición y estructura de la atmósfera.</w:t>
            </w:r>
          </w:p>
          <w:p w:rsidR="005821AA" w:rsidRPr="00907093" w:rsidRDefault="005821AA" w:rsidP="005821AA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07093">
              <w:rPr>
                <w:rFonts w:ascii="Agency FB" w:hAnsi="Agency FB" w:cs="ArialMT"/>
              </w:rPr>
              <w:t>Relación entre la radiación solar y la atmósfera. Origen e importancia biológica de los componentes de la atmósfera como la capa de ozono. El efecto invernadero y su relación con la vida en la Tierra.</w:t>
            </w:r>
          </w:p>
          <w:p w:rsidR="005821AA" w:rsidRPr="00907093" w:rsidRDefault="005821AA" w:rsidP="005821AA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07093">
              <w:rPr>
                <w:rFonts w:ascii="Agency FB" w:hAnsi="Agency FB" w:cs="ArialMT"/>
              </w:rPr>
              <w:t>Circulación general atmosférica y clima. Formación de precipitaciones.</w:t>
            </w:r>
          </w:p>
          <w:p w:rsidR="005821AA" w:rsidRPr="00907093" w:rsidRDefault="005821AA" w:rsidP="005821AA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07093">
              <w:rPr>
                <w:rFonts w:ascii="Agency FB" w:hAnsi="Agency FB" w:cs="ArialMT"/>
              </w:rPr>
              <w:t>La relación entre la dinámica de la hidrosfera y el clima.</w:t>
            </w:r>
          </w:p>
          <w:p w:rsidR="005821AA" w:rsidRPr="00907093" w:rsidRDefault="005821AA" w:rsidP="005821AA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907093">
              <w:rPr>
                <w:rFonts w:ascii="Agency FB" w:hAnsi="Agency FB" w:cs="ArialMT"/>
              </w:rPr>
              <w:t>Los riesgos climáticos y su predicción y prevención.</w:t>
            </w:r>
          </w:p>
        </w:tc>
        <w:tc>
          <w:tcPr>
            <w:tcW w:w="315" w:type="pct"/>
            <w:vMerge/>
          </w:tcPr>
          <w:p w:rsidR="005821AA" w:rsidRPr="00907093" w:rsidRDefault="005821AA" w:rsidP="005821AA">
            <w:pPr>
              <w:pStyle w:val="Prrafodelista"/>
              <w:widowControl/>
              <w:numPr>
                <w:ilvl w:val="0"/>
                <w:numId w:val="7"/>
              </w:numPr>
              <w:adjustRightInd w:val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1501"/>
        </w:trPr>
        <w:tc>
          <w:tcPr>
            <w:tcW w:w="374" w:type="pct"/>
            <w:vMerge/>
            <w:tcBorders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0E0F20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CONTAMINACIÓN DE LAS MASAS FLUIDAS</w:t>
            </w:r>
          </w:p>
        </w:tc>
        <w:tc>
          <w:tcPr>
            <w:tcW w:w="3448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9133C3" w:rsidRDefault="005821AA" w:rsidP="005821AA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133C3">
              <w:rPr>
                <w:rFonts w:ascii="Agency FB" w:hAnsi="Agency FB" w:cs="ArialMT"/>
              </w:rPr>
              <w:t>Concepto de contaminación y contaminante.</w:t>
            </w:r>
          </w:p>
          <w:p w:rsidR="005821AA" w:rsidRPr="009133C3" w:rsidRDefault="005821AA" w:rsidP="005821AA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133C3">
              <w:rPr>
                <w:rFonts w:ascii="Agency FB" w:hAnsi="Agency FB" w:cs="ArialMT"/>
              </w:rPr>
              <w:t>Los principales contaminantes atmosféricos, su origen, clasificación, efectos y consecuencias sociales y ambientales.</w:t>
            </w:r>
          </w:p>
          <w:p w:rsidR="005821AA" w:rsidRPr="009133C3" w:rsidRDefault="005821AA" w:rsidP="005821AA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133C3">
              <w:rPr>
                <w:rFonts w:ascii="Agency FB" w:hAnsi="Agency FB" w:cs="ArialMT"/>
              </w:rPr>
              <w:t>Dinámica de dispersión de la contaminación atmosférica.</w:t>
            </w:r>
          </w:p>
          <w:p w:rsidR="005821AA" w:rsidRPr="009133C3" w:rsidRDefault="005821AA" w:rsidP="005821AA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9133C3">
              <w:rPr>
                <w:rFonts w:ascii="Agency FB" w:hAnsi="Agency FB" w:cs="ArialMT"/>
              </w:rPr>
              <w:t>Medidas que previenen o disminuyen la contaminación atmosférica y sus efectos.</w:t>
            </w:r>
          </w:p>
          <w:p w:rsidR="005821AA" w:rsidRPr="009133C3" w:rsidRDefault="005821AA" w:rsidP="005821AA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9133C3">
              <w:rPr>
                <w:rFonts w:ascii="Agency FB" w:hAnsi="Agency FB" w:cs="ArialMT"/>
              </w:rPr>
              <w:t>Efectos locales, regionales y globales de la contaminación atmosférica.</w:t>
            </w:r>
          </w:p>
        </w:tc>
        <w:tc>
          <w:tcPr>
            <w:tcW w:w="315" w:type="pct"/>
            <w:vMerge/>
            <w:tcBorders>
              <w:bottom w:val="outset" w:sz="6" w:space="0" w:color="auto"/>
            </w:tcBorders>
          </w:tcPr>
          <w:p w:rsidR="005821AA" w:rsidRPr="009133C3" w:rsidRDefault="005821AA" w:rsidP="005821AA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492"/>
        </w:trPr>
        <w:tc>
          <w:tcPr>
            <w:tcW w:w="374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5821AA" w:rsidRPr="00197AB6" w:rsidRDefault="005821AA" w:rsidP="005821AA">
            <w:pPr>
              <w:jc w:val="center"/>
              <w:rPr>
                <w:rFonts w:ascii="Agency FB" w:hAnsi="Agency FB" w:cs="Arial"/>
                <w:noProof/>
                <w:sz w:val="20"/>
                <w:szCs w:val="20"/>
              </w:rPr>
            </w:pPr>
            <w:r w:rsidRPr="00197AB6">
              <w:rPr>
                <w:rFonts w:ascii="Agency FB" w:hAnsi="Agency FB" w:cs="Arial"/>
                <w:noProof/>
                <w:sz w:val="20"/>
                <w:szCs w:val="20"/>
              </w:rPr>
              <w:t>3ª</w:t>
            </w:r>
          </w:p>
        </w:tc>
        <w:tc>
          <w:tcPr>
            <w:tcW w:w="863" w:type="pct"/>
            <w:tcBorders>
              <w:top w:val="outset" w:sz="6" w:space="0" w:color="auto"/>
              <w:bottom w:val="outset" w:sz="6" w:space="0" w:color="auto"/>
            </w:tcBorders>
          </w:tcPr>
          <w:p w:rsidR="005821AA" w:rsidRPr="009A5FB0" w:rsidRDefault="005821AA" w:rsidP="005821AA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RECURSOS DE LA BIOSFERA</w:t>
            </w:r>
          </w:p>
        </w:tc>
        <w:tc>
          <w:tcPr>
            <w:tcW w:w="3448" w:type="pct"/>
            <w:tcBorders>
              <w:bottom w:val="outset" w:sz="6" w:space="0" w:color="auto"/>
            </w:tcBorders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El suelo, su uso y su alteración.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Los recursos agrícolas, ganaderos y forestales y los impactos ambientales derivados de su uso.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El sistema litoral y su valor ecológico.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F915E2">
              <w:rPr>
                <w:rFonts w:ascii="Agency FB" w:hAnsi="Agency FB" w:cs="ArialMT"/>
              </w:rPr>
              <w:t>Los recursos pesqueros.</w:t>
            </w:r>
          </w:p>
        </w:tc>
        <w:tc>
          <w:tcPr>
            <w:tcW w:w="315" w:type="pct"/>
            <w:vMerge w:val="restart"/>
          </w:tcPr>
          <w:p w:rsidR="005821AA" w:rsidRPr="00F915E2" w:rsidRDefault="005821AA" w:rsidP="005821AA">
            <w:pPr>
              <w:pStyle w:val="Prrafodelista"/>
              <w:widowControl/>
              <w:adjustRightInd w:val="0"/>
              <w:ind w:left="720" w:firstLine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977"/>
        </w:trPr>
        <w:tc>
          <w:tcPr>
            <w:tcW w:w="374" w:type="pct"/>
            <w:vMerge/>
            <w:tcBorders>
              <w:left w:val="outset" w:sz="6" w:space="0" w:color="auto"/>
            </w:tcBorders>
            <w:textDirection w:val="btLr"/>
          </w:tcPr>
          <w:p w:rsidR="005821AA" w:rsidRPr="00197AB6" w:rsidRDefault="005821AA" w:rsidP="005821AA">
            <w:pPr>
              <w:ind w:left="113" w:right="113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</w:tcBorders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 w:rsidRPr="00F915E2">
              <w:rPr>
                <w:rFonts w:ascii="Agency FB" w:hAnsi="Agency FB" w:cs="Arial"/>
                <w:b/>
                <w:noProof/>
                <w:sz w:val="18"/>
                <w:szCs w:val="18"/>
              </w:rPr>
              <w:t>RECURSOS ENERGÉTICOS Y MINERALES</w:t>
            </w:r>
          </w:p>
        </w:tc>
        <w:tc>
          <w:tcPr>
            <w:tcW w:w="3448" w:type="pct"/>
            <w:tcBorders>
              <w:top w:val="outset" w:sz="6" w:space="0" w:color="auto"/>
            </w:tcBorders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Recursos energéticos asociados a la radiación solar y a la dinámica de las capas fluidas.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2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Recursos minerales, energía nuclear y combustibles fósiles. Problemas ambientales y riesgos asociados.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F915E2">
              <w:rPr>
                <w:rFonts w:ascii="Agency FB" w:hAnsi="Agency FB" w:cs="ArialMT"/>
              </w:rPr>
              <w:t>Uso eficiente de los recursos minerales y energéticos.</w:t>
            </w:r>
          </w:p>
        </w:tc>
        <w:tc>
          <w:tcPr>
            <w:tcW w:w="315" w:type="pct"/>
            <w:vMerge/>
          </w:tcPr>
          <w:p w:rsidR="005821AA" w:rsidRPr="00F915E2" w:rsidRDefault="005821AA" w:rsidP="005821AA">
            <w:pPr>
              <w:pStyle w:val="Prrafodelista"/>
              <w:widowControl/>
              <w:autoSpaceDE/>
              <w:autoSpaceDN/>
              <w:ind w:left="720" w:firstLine="0"/>
              <w:contextualSpacing/>
              <w:jc w:val="both"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1582"/>
        </w:trPr>
        <w:tc>
          <w:tcPr>
            <w:tcW w:w="374" w:type="pct"/>
            <w:vMerge/>
            <w:tcBorders>
              <w:left w:val="outset" w:sz="6" w:space="0" w:color="auto"/>
            </w:tcBorders>
            <w:textDirection w:val="btLr"/>
          </w:tcPr>
          <w:p w:rsidR="005821AA" w:rsidRPr="00197AB6" w:rsidRDefault="005821AA" w:rsidP="005821AA">
            <w:pPr>
              <w:ind w:left="113" w:right="113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</w:tcBorders>
          </w:tcPr>
          <w:p w:rsidR="005821AA" w:rsidRPr="009A5FB0" w:rsidRDefault="005821AA" w:rsidP="005821AA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>
              <w:rPr>
                <w:rFonts w:ascii="Agency FB" w:hAnsi="Agency FB" w:cs="Arial"/>
                <w:b/>
                <w:noProof/>
                <w:sz w:val="18"/>
                <w:szCs w:val="18"/>
              </w:rPr>
              <w:t>EL AGUA COMO RECURSO</w:t>
            </w:r>
          </w:p>
        </w:tc>
        <w:tc>
          <w:tcPr>
            <w:tcW w:w="3448" w:type="pct"/>
            <w:tcBorders>
              <w:top w:val="outset" w:sz="6" w:space="0" w:color="auto"/>
            </w:tcBorders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Contaminantes del agua y sus repercusiones.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Indicadores de calidad del agua.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Medidas contra la contaminación del agua.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Sistemas de potabilización del agua y de depuración de las aguas residuales.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  <w:r w:rsidRPr="00F915E2">
              <w:rPr>
                <w:rFonts w:ascii="Agency FB" w:hAnsi="Agency FB" w:cs="ArialMT"/>
              </w:rPr>
              <w:t>Usos del agua y planificación hidrológica.</w:t>
            </w:r>
          </w:p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F915E2">
              <w:rPr>
                <w:rFonts w:ascii="Agency FB" w:hAnsi="Agency FB" w:cs="ArialMT"/>
              </w:rPr>
              <w:t>Medidas para un uso eficiente del agua.</w:t>
            </w:r>
          </w:p>
        </w:tc>
        <w:tc>
          <w:tcPr>
            <w:tcW w:w="315" w:type="pct"/>
            <w:vMerge/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contextualSpacing/>
              <w:rPr>
                <w:rFonts w:ascii="Agency FB" w:hAnsi="Agency FB" w:cs="ArialMT"/>
              </w:rPr>
            </w:pPr>
          </w:p>
        </w:tc>
      </w:tr>
      <w:tr w:rsidR="005821AA" w:rsidRPr="00197AB6" w:rsidTr="005821AA">
        <w:trPr>
          <w:cantSplit/>
          <w:trHeight w:val="65"/>
        </w:trPr>
        <w:tc>
          <w:tcPr>
            <w:tcW w:w="374" w:type="pct"/>
            <w:vMerge/>
            <w:tcBorders>
              <w:left w:val="outset" w:sz="6" w:space="0" w:color="auto"/>
            </w:tcBorders>
            <w:textDirection w:val="btLr"/>
          </w:tcPr>
          <w:p w:rsidR="005821AA" w:rsidRPr="00197AB6" w:rsidRDefault="005821AA" w:rsidP="005821AA">
            <w:pPr>
              <w:ind w:left="113" w:right="113"/>
              <w:rPr>
                <w:rFonts w:ascii="Agency FB" w:hAnsi="Agency FB" w:cs="Arial"/>
                <w:noProof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outset" w:sz="6" w:space="0" w:color="auto"/>
            </w:tcBorders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spacing w:before="120" w:after="120"/>
              <w:contextualSpacing/>
              <w:rPr>
                <w:rFonts w:ascii="Agency FB" w:hAnsi="Agency FB" w:cs="Arial"/>
                <w:b/>
                <w:noProof/>
                <w:sz w:val="18"/>
                <w:szCs w:val="18"/>
              </w:rPr>
            </w:pPr>
            <w:r w:rsidRPr="00F915E2">
              <w:rPr>
                <w:rFonts w:ascii="Agency FB" w:hAnsi="Agency FB" w:cs="Arial"/>
                <w:b/>
                <w:noProof/>
                <w:sz w:val="18"/>
                <w:szCs w:val="18"/>
              </w:rPr>
              <w:t>LOS RESIDUOS</w:t>
            </w:r>
          </w:p>
        </w:tc>
        <w:tc>
          <w:tcPr>
            <w:tcW w:w="3448" w:type="pct"/>
            <w:tcBorders>
              <w:top w:val="outset" w:sz="6" w:space="0" w:color="auto"/>
            </w:tcBorders>
          </w:tcPr>
          <w:p w:rsidR="005821AA" w:rsidRPr="00E46CD8" w:rsidRDefault="005821AA" w:rsidP="005821AA">
            <w:pPr>
              <w:pStyle w:val="Prrafodelista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gency FB" w:hAnsi="Agency FB" w:cs="Arial"/>
              </w:rPr>
            </w:pPr>
            <w:r w:rsidRPr="00F915E2">
              <w:rPr>
                <w:rFonts w:ascii="Agency FB" w:hAnsi="Agency FB" w:cs="ArialMT"/>
              </w:rPr>
              <w:t>Los residuos y su gestión.</w:t>
            </w:r>
          </w:p>
          <w:p w:rsidR="005821AA" w:rsidRPr="00F915E2" w:rsidRDefault="005821AA" w:rsidP="005821AA">
            <w:pPr>
              <w:pStyle w:val="Prrafodelista"/>
              <w:widowControl/>
              <w:autoSpaceDE/>
              <w:autoSpaceDN/>
              <w:ind w:left="720" w:firstLine="0"/>
              <w:contextualSpacing/>
              <w:jc w:val="both"/>
              <w:rPr>
                <w:rFonts w:ascii="Agency FB" w:hAnsi="Agency FB" w:cs="Arial"/>
              </w:rPr>
            </w:pPr>
          </w:p>
        </w:tc>
        <w:tc>
          <w:tcPr>
            <w:tcW w:w="315" w:type="pct"/>
            <w:vMerge/>
          </w:tcPr>
          <w:p w:rsidR="005821AA" w:rsidRPr="00F915E2" w:rsidRDefault="005821AA" w:rsidP="005821AA">
            <w:pPr>
              <w:pStyle w:val="Prrafodelista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gency FB" w:hAnsi="Agency FB" w:cs="ArialMT"/>
              </w:rPr>
            </w:pPr>
          </w:p>
        </w:tc>
      </w:tr>
    </w:tbl>
    <w:p w:rsidR="00CB54DE" w:rsidRDefault="00CB54DE"/>
    <w:sectPr w:rsidR="00CB54DE" w:rsidSect="00E46CD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68" w:rsidRDefault="00455268" w:rsidP="00E46CD8">
      <w:r>
        <w:separator/>
      </w:r>
    </w:p>
  </w:endnote>
  <w:endnote w:type="continuationSeparator" w:id="0">
    <w:p w:rsidR="00455268" w:rsidRDefault="00455268" w:rsidP="00E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68" w:rsidRDefault="00455268" w:rsidP="00E46CD8">
      <w:r>
        <w:separator/>
      </w:r>
    </w:p>
  </w:footnote>
  <w:footnote w:type="continuationSeparator" w:id="0">
    <w:p w:rsidR="00455268" w:rsidRDefault="00455268" w:rsidP="00E4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D8" w:rsidRDefault="00E46CD8" w:rsidP="00E46CD8">
    <w:pPr>
      <w:pStyle w:val="Encabezado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  <w:rPr>
        <w:sz w:val="24"/>
        <w:szCs w:val="24"/>
      </w:rPr>
    </w:pPr>
    <w:r>
      <w:rPr>
        <w:rFonts w:ascii="Cambria" w:eastAsia="Times New Roman" w:hAnsi="Cambria" w:cs="Cambria"/>
        <w:sz w:val="32"/>
        <w:szCs w:val="32"/>
      </w:rPr>
      <w:t>IES JUAN DE ÁVILA. Departamento de Biología y Geología</w:t>
    </w:r>
  </w:p>
  <w:p w:rsidR="00E46CD8" w:rsidRDefault="00E46CD8" w:rsidP="00E46CD8">
    <w:pPr>
      <w:pStyle w:val="Encabezado"/>
      <w:rPr>
        <w:sz w:val="24"/>
        <w:szCs w:val="24"/>
      </w:rPr>
    </w:pPr>
  </w:p>
  <w:p w:rsidR="00E46CD8" w:rsidRDefault="00E46CD8" w:rsidP="00E46CD8">
    <w:pPr>
      <w:ind w:left="70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51B"/>
    <w:multiLevelType w:val="hybridMultilevel"/>
    <w:tmpl w:val="9C62D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216F"/>
    <w:multiLevelType w:val="hybridMultilevel"/>
    <w:tmpl w:val="4BA43F1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554B4"/>
    <w:multiLevelType w:val="hybridMultilevel"/>
    <w:tmpl w:val="71568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E17CA"/>
    <w:multiLevelType w:val="hybridMultilevel"/>
    <w:tmpl w:val="3E049C76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BFB"/>
    <w:multiLevelType w:val="hybridMultilevel"/>
    <w:tmpl w:val="EA44E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3573F"/>
    <w:multiLevelType w:val="hybridMultilevel"/>
    <w:tmpl w:val="AFC24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9132E"/>
    <w:multiLevelType w:val="hybridMultilevel"/>
    <w:tmpl w:val="EE20C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A446D"/>
    <w:multiLevelType w:val="hybridMultilevel"/>
    <w:tmpl w:val="82823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6AF8"/>
    <w:multiLevelType w:val="hybridMultilevel"/>
    <w:tmpl w:val="5D82A39A"/>
    <w:lvl w:ilvl="0" w:tplc="FFCCBEF6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5" w:hanging="360"/>
      </w:pPr>
    </w:lvl>
    <w:lvl w:ilvl="2" w:tplc="0C0A001B" w:tentative="1">
      <w:start w:val="1"/>
      <w:numFmt w:val="lowerRoman"/>
      <w:lvlText w:val="%3."/>
      <w:lvlJc w:val="right"/>
      <w:pPr>
        <w:ind w:left="2015" w:hanging="180"/>
      </w:pPr>
    </w:lvl>
    <w:lvl w:ilvl="3" w:tplc="0C0A000F" w:tentative="1">
      <w:start w:val="1"/>
      <w:numFmt w:val="decimal"/>
      <w:lvlText w:val="%4."/>
      <w:lvlJc w:val="left"/>
      <w:pPr>
        <w:ind w:left="2735" w:hanging="360"/>
      </w:pPr>
    </w:lvl>
    <w:lvl w:ilvl="4" w:tplc="0C0A0019" w:tentative="1">
      <w:start w:val="1"/>
      <w:numFmt w:val="lowerLetter"/>
      <w:lvlText w:val="%5."/>
      <w:lvlJc w:val="left"/>
      <w:pPr>
        <w:ind w:left="3455" w:hanging="360"/>
      </w:pPr>
    </w:lvl>
    <w:lvl w:ilvl="5" w:tplc="0C0A001B" w:tentative="1">
      <w:start w:val="1"/>
      <w:numFmt w:val="lowerRoman"/>
      <w:lvlText w:val="%6."/>
      <w:lvlJc w:val="right"/>
      <w:pPr>
        <w:ind w:left="4175" w:hanging="180"/>
      </w:pPr>
    </w:lvl>
    <w:lvl w:ilvl="6" w:tplc="0C0A000F" w:tentative="1">
      <w:start w:val="1"/>
      <w:numFmt w:val="decimal"/>
      <w:lvlText w:val="%7."/>
      <w:lvlJc w:val="left"/>
      <w:pPr>
        <w:ind w:left="4895" w:hanging="360"/>
      </w:pPr>
    </w:lvl>
    <w:lvl w:ilvl="7" w:tplc="0C0A0019" w:tentative="1">
      <w:start w:val="1"/>
      <w:numFmt w:val="lowerLetter"/>
      <w:lvlText w:val="%8."/>
      <w:lvlJc w:val="left"/>
      <w:pPr>
        <w:ind w:left="5615" w:hanging="360"/>
      </w:pPr>
    </w:lvl>
    <w:lvl w:ilvl="8" w:tplc="0C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>
    <w:nsid w:val="5CD07268"/>
    <w:multiLevelType w:val="hybridMultilevel"/>
    <w:tmpl w:val="C0B8D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3C7D"/>
    <w:multiLevelType w:val="hybridMultilevel"/>
    <w:tmpl w:val="9FCAB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A7170"/>
    <w:multiLevelType w:val="hybridMultilevel"/>
    <w:tmpl w:val="3EB4E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F6151"/>
    <w:multiLevelType w:val="hybridMultilevel"/>
    <w:tmpl w:val="5A667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B0C2E"/>
    <w:multiLevelType w:val="hybridMultilevel"/>
    <w:tmpl w:val="DEF29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8B"/>
    <w:rsid w:val="001515DD"/>
    <w:rsid w:val="00455268"/>
    <w:rsid w:val="005821AA"/>
    <w:rsid w:val="00CB54DE"/>
    <w:rsid w:val="00CB5775"/>
    <w:rsid w:val="00E46CD8"/>
    <w:rsid w:val="00E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38B"/>
    <w:pPr>
      <w:ind w:left="1222" w:hanging="361"/>
    </w:pPr>
  </w:style>
  <w:style w:type="paragraph" w:styleId="Encabezado">
    <w:name w:val="header"/>
    <w:basedOn w:val="Normal"/>
    <w:link w:val="EncabezadoCar"/>
    <w:unhideWhenUsed/>
    <w:rsid w:val="00E46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D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6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D8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46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38B"/>
    <w:pPr>
      <w:ind w:left="1222" w:hanging="361"/>
    </w:pPr>
  </w:style>
  <w:style w:type="paragraph" w:styleId="Encabezado">
    <w:name w:val="header"/>
    <w:basedOn w:val="Normal"/>
    <w:link w:val="EncabezadoCar"/>
    <w:unhideWhenUsed/>
    <w:rsid w:val="00E46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D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6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D8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46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2021-09-08T11:30:00Z</dcterms:created>
  <dcterms:modified xsi:type="dcterms:W3CDTF">2021-09-09T10:23:00Z</dcterms:modified>
</cp:coreProperties>
</file>